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21"/>
        <w:ind w:left="0" w:firstLine="708"/>
        <w:jc w:val="both"/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</w:t>
      </w:r>
      <w:r>
        <w:rPr>
          <w:sz w:val="18"/>
          <w:szCs w:val="18"/>
        </w:rPr>
        <w:t xml:space="preserve">                  </w:t>
      </w:r>
      <w:r>
        <w:rPr>
          <w:sz w:val="18"/>
          <w:szCs w:val="18"/>
        </w:rPr>
      </w:r>
      <w:r/>
    </w:p>
    <w:p>
      <w:pPr>
        <w:pStyle w:val="921"/>
        <w:ind w:left="0" w:firstLine="708"/>
        <w:jc w:val="center"/>
        <w:spacing w:after="0" w:line="240" w:lineRule="auto"/>
      </w:pPr>
      <w:r>
        <w:rPr>
          <w:sz w:val="18"/>
          <w:szCs w:val="18"/>
        </w:rPr>
        <w:t xml:space="preserve">                                                  </w:t>
      </w:r>
      <w:r>
        <w:rPr>
          <w:sz w:val="18"/>
          <w:szCs w:val="18"/>
        </w:rPr>
        <w:t xml:space="preserve">  </w:t>
      </w:r>
      <w:r>
        <w:t xml:space="preserve">ПОЯСНИТЕЛЬНАЯ ЗАПИСКА</w:t>
      </w:r>
      <w:r/>
    </w:p>
    <w:p>
      <w:pPr>
        <w:pStyle w:val="912"/>
        <w:jc w:val="both"/>
        <w:tabs>
          <w:tab w:val="left" w:pos="799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</w:t>
      </w:r>
      <w:r>
        <w:rPr>
          <w:sz w:val="28"/>
          <w:szCs w:val="28"/>
        </w:rPr>
        <w:t xml:space="preserve"> проекту решения Совета депутатов Колыванского района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внесении изменений в бюджет Колыванского района</w:t>
      </w:r>
      <w:r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22</w:t>
      </w:r>
      <w:r>
        <w:rPr>
          <w:sz w:val="28"/>
          <w:szCs w:val="28"/>
        </w:rPr>
        <w:t xml:space="preserve">.12.20</w:t>
      </w:r>
      <w:r>
        <w:rPr>
          <w:sz w:val="28"/>
          <w:szCs w:val="28"/>
        </w:rPr>
        <w:t xml:space="preserve">23</w:t>
      </w:r>
      <w:r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279 </w:t>
      </w:r>
      <w:r>
        <w:rPr>
          <w:sz w:val="28"/>
          <w:szCs w:val="28"/>
        </w:rPr>
        <w:t xml:space="preserve"> «О бюджете Колыванского района на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4 год и плановый период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5-20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6 годов»</w:t>
      </w:r>
      <w:r>
        <w:rPr>
          <w:sz w:val="28"/>
          <w:szCs w:val="28"/>
        </w:rPr>
        <w:t xml:space="preserve"> в феврале</w:t>
      </w:r>
      <w:r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4 года.</w:t>
      </w:r>
      <w:r>
        <w:rPr>
          <w:sz w:val="28"/>
          <w:szCs w:val="28"/>
        </w:rPr>
      </w:r>
      <w:r/>
    </w:p>
    <w:p>
      <w:pPr>
        <w:pStyle w:val="912"/>
        <w:jc w:val="both"/>
        <w:tabs>
          <w:tab w:val="left" w:pos="799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 решения  Совета депутатов Колыванского района Новосибирской области</w:t>
      </w:r>
      <w:r>
        <w:rPr>
          <w:sz w:val="28"/>
          <w:szCs w:val="28"/>
        </w:rPr>
        <w:t xml:space="preserve"> о внесении изменений в бюджет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</w:t>
      </w:r>
      <w:r>
        <w:rPr>
          <w:sz w:val="28"/>
          <w:szCs w:val="28"/>
        </w:rPr>
        <w:t xml:space="preserve">2 декабря 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3 года №</w:t>
      </w:r>
      <w:r>
        <w:rPr>
          <w:sz w:val="28"/>
          <w:szCs w:val="28"/>
        </w:rPr>
        <w:t xml:space="preserve"> 279 </w:t>
      </w:r>
      <w:r>
        <w:rPr>
          <w:sz w:val="28"/>
          <w:szCs w:val="28"/>
        </w:rPr>
        <w:t xml:space="preserve"> «О бюджете Колыванского района на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4 год и плановый период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5-20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6 годов»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вносится для рассмотрения </w:t>
      </w:r>
      <w:r>
        <w:rPr>
          <w:sz w:val="28"/>
          <w:szCs w:val="28"/>
        </w:rPr>
        <w:t xml:space="preserve"> и утверждения </w:t>
      </w:r>
      <w:r>
        <w:rPr>
          <w:sz w:val="28"/>
          <w:szCs w:val="28"/>
        </w:rPr>
        <w:t xml:space="preserve">в  Совет депутатов</w:t>
      </w:r>
      <w:r>
        <w:rPr>
          <w:sz w:val="28"/>
          <w:szCs w:val="28"/>
        </w:rPr>
        <w:t xml:space="preserve"> Колыванского района </w:t>
      </w:r>
      <w:r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 xml:space="preserve"> в соответствии со статьей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42 </w:t>
      </w:r>
      <w:r>
        <w:rPr>
          <w:sz w:val="28"/>
          <w:szCs w:val="28"/>
        </w:rPr>
        <w:t xml:space="preserve"> Положения «О бюджетном процессе в муниципальном образовании Колыванск</w:t>
      </w:r>
      <w:r>
        <w:rPr>
          <w:sz w:val="28"/>
          <w:szCs w:val="28"/>
        </w:rPr>
        <w:t xml:space="preserve">ий </w:t>
      </w:r>
      <w:r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920"/>
        <w:rPr>
          <w:sz w:val="28"/>
          <w:szCs w:val="28"/>
        </w:rPr>
      </w:pPr>
      <w:r>
        <w:rPr>
          <w:sz w:val="28"/>
          <w:szCs w:val="28"/>
        </w:rPr>
        <w:t xml:space="preserve">Разработка данного </w:t>
      </w:r>
      <w:r>
        <w:rPr>
          <w:sz w:val="28"/>
          <w:szCs w:val="28"/>
        </w:rPr>
        <w:t xml:space="preserve">проекта решения </w:t>
      </w:r>
      <w:r>
        <w:rPr>
          <w:sz w:val="28"/>
          <w:szCs w:val="28"/>
        </w:rPr>
        <w:t xml:space="preserve"> обусловлена</w:t>
      </w:r>
      <w:r>
        <w:rPr>
          <w:sz w:val="28"/>
          <w:szCs w:val="28"/>
        </w:rPr>
        <w:t xml:space="preserve"> необходимостью внесения изменений  в части приведения в соответствие ранее принятого решения </w:t>
      </w:r>
      <w:r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овета депутатов</w:t>
      </w:r>
      <w:r>
        <w:rPr>
          <w:sz w:val="28"/>
          <w:szCs w:val="28"/>
        </w:rPr>
        <w:t xml:space="preserve"> Колыванского района </w:t>
      </w:r>
      <w:r>
        <w:rPr>
          <w:sz w:val="28"/>
          <w:szCs w:val="28"/>
        </w:rPr>
        <w:t xml:space="preserve">Новосибирской области</w:t>
      </w:r>
      <w:r>
        <w:rPr>
          <w:sz w:val="28"/>
          <w:szCs w:val="28"/>
        </w:rPr>
        <w:t xml:space="preserve">   нормам бюджетного законодательства, а именно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уточнение </w:t>
      </w:r>
      <w:r>
        <w:rPr>
          <w:sz w:val="28"/>
          <w:szCs w:val="28"/>
        </w:rPr>
        <w:t xml:space="preserve">доходной, </w:t>
      </w:r>
      <w:r>
        <w:rPr>
          <w:sz w:val="28"/>
          <w:szCs w:val="28"/>
        </w:rPr>
        <w:t xml:space="preserve">расходной части и источников дефицита  бюджета</w:t>
      </w:r>
      <w:r>
        <w:rPr>
          <w:sz w:val="28"/>
          <w:szCs w:val="28"/>
        </w:rPr>
        <w:t xml:space="preserve"> Колыванского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.</w:t>
      </w:r>
      <w:r>
        <w:rPr>
          <w:sz w:val="28"/>
          <w:szCs w:val="28"/>
        </w:rPr>
      </w:r>
      <w:r/>
    </w:p>
    <w:p>
      <w:pPr>
        <w:pStyle w:val="920"/>
        <w:rPr>
          <w:sz w:val="28"/>
          <w:szCs w:val="28"/>
        </w:rPr>
      </w:pPr>
      <w:r>
        <w:rPr>
          <w:sz w:val="28"/>
          <w:szCs w:val="28"/>
        </w:rPr>
        <w:t xml:space="preserve">Внесение изменений </w:t>
      </w:r>
      <w:r>
        <w:rPr>
          <w:sz w:val="28"/>
          <w:szCs w:val="28"/>
        </w:rPr>
        <w:t xml:space="preserve">в доходную часть бюджета связан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ых</w:t>
      </w:r>
      <w:r>
        <w:rPr>
          <w:sz w:val="28"/>
          <w:szCs w:val="28"/>
        </w:rPr>
        <w:t xml:space="preserve"> с увеличением план</w:t>
      </w:r>
      <w:r>
        <w:rPr>
          <w:sz w:val="28"/>
          <w:szCs w:val="28"/>
        </w:rPr>
        <w:t xml:space="preserve">овых назначений  </w:t>
      </w:r>
      <w:r>
        <w:rPr>
          <w:sz w:val="28"/>
          <w:szCs w:val="28"/>
        </w:rPr>
        <w:t xml:space="preserve">по прочим </w:t>
      </w:r>
      <w:r>
        <w:rPr>
          <w:sz w:val="28"/>
          <w:szCs w:val="28"/>
        </w:rPr>
        <w:t xml:space="preserve">доходам Колыванского района  в том числе платных услуг казенных учреждений на сумму  270,8 тысяч рублей (распределены в расходной части бюджета, согласно заявкам руководителей данных учреждений), а также технических уточнений.</w:t>
      </w:r>
      <w:r>
        <w:rPr>
          <w:sz w:val="28"/>
          <w:szCs w:val="28"/>
        </w:rPr>
      </w:r>
      <w:r/>
    </w:p>
    <w:p>
      <w:pPr>
        <w:pStyle w:val="9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Внесение изменений  в расходную часть</w:t>
      </w:r>
      <w:r>
        <w:rPr>
          <w:sz w:val="28"/>
          <w:szCs w:val="28"/>
        </w:rPr>
        <w:t xml:space="preserve"> бюджета  связана с отражением бюджетных ассигнов</w:t>
      </w:r>
      <w:r>
        <w:rPr>
          <w:sz w:val="28"/>
          <w:szCs w:val="28"/>
        </w:rPr>
        <w:t xml:space="preserve">аний по разделам , подразделам  целевым статья и видам расходов</w:t>
      </w:r>
      <w:r>
        <w:rPr>
          <w:sz w:val="28"/>
          <w:szCs w:val="28"/>
        </w:rPr>
        <w:t xml:space="preserve">  средств для выполнения Указов Президента РФ  в части заработной платы  от</w:t>
      </w:r>
      <w:r>
        <w:rPr>
          <w:sz w:val="28"/>
          <w:szCs w:val="28"/>
        </w:rPr>
        <w:t xml:space="preserve">дельных работников бюджетной сферы  с целью  достижения ус</w:t>
      </w:r>
      <w:r>
        <w:rPr>
          <w:sz w:val="28"/>
          <w:szCs w:val="28"/>
        </w:rPr>
        <w:t xml:space="preserve">тановленного  среднего уровня заработной платы на 2024 годна сумму 7853,9 тысяч рублей   и досчитанной индексации (в том числе с учетом «неуказных» категорий)  на сумму 28147,8 тысяч рублей для всех поселений и муниципальных учреждений Колыванского района.</w:t>
      </w:r>
      <w:r>
        <w:rPr>
          <w:sz w:val="28"/>
          <w:szCs w:val="28"/>
          <w:highlight w:val="none"/>
        </w:rPr>
      </w:r>
      <w:r/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           Также согласно  заявкам и ходатайствам руководителей структурных подразделений и муниципальных учреждений</w:t>
      </w:r>
      <w:r>
        <w:rPr>
          <w:sz w:val="28"/>
          <w:szCs w:val="28"/>
        </w:rPr>
        <w:t xml:space="preserve"> выделены дополнительные  бюджетные ассигнования , в том числе :</w:t>
      </w:r>
      <w:r>
        <w:rPr>
          <w:sz w:val="28"/>
          <w:szCs w:val="28"/>
        </w:rPr>
      </w:r>
      <w:r/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Общегосударственные  расходы- 186,7 тысяч рублей</w:t>
      </w:r>
      <w:r>
        <w:rPr>
          <w:sz w:val="28"/>
          <w:szCs w:val="28"/>
          <w:highlight w:val="none"/>
        </w:rPr>
        <w:t xml:space="preserve"> ( обеспечения софинансирования ГП  НСО «Цифровая трансформация», прочие расходы).</w:t>
      </w:r>
      <w:r>
        <w:rPr>
          <w:sz w:val="28"/>
          <w:szCs w:val="28"/>
        </w:rPr>
      </w:r>
      <w:r/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Дорожная деятельность и транспорт -6627,8 тысяч рублей</w:t>
      </w:r>
      <w:r>
        <w:rPr>
          <w:sz w:val="28"/>
          <w:szCs w:val="28"/>
          <w:highlight w:val="none"/>
        </w:rPr>
        <w:t xml:space="preserve"> (на исполнение переходящих бюджетных обязательств за счет остатка целевых средств на начало года, ). </w:t>
      </w:r>
      <w:r>
        <w:rPr>
          <w:sz w:val="28"/>
          <w:szCs w:val="28"/>
        </w:rPr>
      </w:r>
      <w:r/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ЖКХ- 2523,9 тысяч рублей (обеспечение софинансирования государственных программ </w:t>
      </w:r>
      <w:r>
        <w:rPr>
          <w:sz w:val="28"/>
          <w:szCs w:val="28"/>
          <w:highlight w:val="none"/>
        </w:rPr>
        <w:t xml:space="preserve">по приобретению специализированного жилья для отдельной категорий). </w:t>
      </w:r>
      <w:r>
        <w:rPr>
          <w:sz w:val="28"/>
          <w:szCs w:val="28"/>
          <w:highlight w:val="none"/>
        </w:rPr>
      </w:r>
      <w:r/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Охрана окружающей среды - 1626,0 тысяч рублей ( целевые средства в целях  реализации  муниципальной программы Колыванского района  «Экология и охрана окружающей среды). </w:t>
      </w:r>
      <w:r>
        <w:rPr>
          <w:sz w:val="28"/>
          <w:szCs w:val="28"/>
        </w:rPr>
      </w:r>
      <w:r/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Образование -6866,4 тысяч рублей</w:t>
      </w:r>
      <w:r>
        <w:rPr>
          <w:sz w:val="28"/>
          <w:szCs w:val="28"/>
          <w:highlight w:val="none"/>
        </w:rPr>
        <w:t xml:space="preserve"> (обеспечение софинансирования по социальному заказу на 2024 год, обеспечение строительного контроля по ремонту школы № 2,  обеспечение исполнения переходящих бюджетных обязательств,  обеспечение технического содержания  школьных котельных).  </w:t>
      </w:r>
      <w:r>
        <w:rPr>
          <w:sz w:val="28"/>
          <w:szCs w:val="28"/>
        </w:rPr>
      </w:r>
      <w:r/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Культура -150,7 тысяч рублей </w:t>
      </w:r>
      <w:r>
        <w:rPr>
          <w:sz w:val="28"/>
          <w:szCs w:val="28"/>
          <w:highlight w:val="none"/>
        </w:rPr>
        <w:t xml:space="preserve">(прочие расходы за счет платных услуг).</w:t>
      </w:r>
      <w:r>
        <w:rPr>
          <w:sz w:val="28"/>
          <w:szCs w:val="28"/>
        </w:rPr>
      </w:r>
      <w:r/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Спорт- 120,0 тысяч рублей</w:t>
      </w:r>
      <w:r>
        <w:rPr>
          <w:sz w:val="28"/>
          <w:szCs w:val="28"/>
          <w:highlight w:val="none"/>
        </w:rPr>
        <w:t xml:space="preserve"> (прочие расходы за счет платных услуг).</w:t>
      </w:r>
      <w:r>
        <w:rPr>
          <w:sz w:val="28"/>
          <w:szCs w:val="28"/>
        </w:rPr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Кроме того,  учтено внутреннее</w:t>
      </w:r>
      <w:r>
        <w:rPr>
          <w:sz w:val="28"/>
          <w:szCs w:val="28"/>
        </w:rPr>
        <w:t xml:space="preserve"> перераспределение бюджетных ассигнований по заявкам и ходатайствам руководителей  муниципальных учреждений Колыванского района, в  связи с уточнением целевого использования бюджетных ассигнований, в том числе с учетом потребностей муниципальных поселений.</w:t>
      </w:r>
      <w:r>
        <w:rPr>
          <w:sz w:val="28"/>
          <w:szCs w:val="28"/>
        </w:rPr>
      </w:r>
      <w:r/>
    </w:p>
    <w:p>
      <w:pPr>
        <w:pStyle w:val="912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Общая сумма</w:t>
      </w:r>
      <w:r>
        <w:rPr>
          <w:sz w:val="28"/>
          <w:szCs w:val="28"/>
        </w:rPr>
        <w:t xml:space="preserve"> доходов бюджета Колыванского района  с учетом всех изменений </w:t>
      </w:r>
      <w:r>
        <w:rPr>
          <w:sz w:val="28"/>
          <w:szCs w:val="28"/>
        </w:rPr>
        <w:t xml:space="preserve"> на 2024 год </w:t>
      </w:r>
      <w:r>
        <w:rPr>
          <w:sz w:val="28"/>
          <w:szCs w:val="28"/>
        </w:rPr>
        <w:t xml:space="preserve">составит </w:t>
      </w:r>
      <w:r>
        <w:rPr>
          <w:sz w:val="28"/>
          <w:szCs w:val="28"/>
        </w:rPr>
        <w:t xml:space="preserve">1 991 815,5 тысяч рублей ,  в плановом периоде с учетом технических </w:t>
      </w:r>
      <w:r>
        <w:rPr>
          <w:sz w:val="24"/>
          <w:szCs w:val="24"/>
        </w:rPr>
        <w:t xml:space="preserve">корректировок на 2025 год</w:t>
      </w:r>
      <w:r>
        <w:rPr>
          <w:sz w:val="28"/>
          <w:szCs w:val="28"/>
        </w:rPr>
        <w:t xml:space="preserve"> 1 473 577,2 </w:t>
      </w:r>
      <w:r>
        <w:rPr>
          <w:sz w:val="24"/>
          <w:szCs w:val="24"/>
        </w:rPr>
        <w:t xml:space="preserve"> тысяч рублей , на 2026 год </w:t>
      </w:r>
      <w:r>
        <w:rPr>
          <w:sz w:val="28"/>
          <w:szCs w:val="28"/>
        </w:rPr>
        <w:t xml:space="preserve">1 497 246,5</w:t>
      </w:r>
      <w:r>
        <w:rPr>
          <w:sz w:val="24"/>
          <w:szCs w:val="24"/>
        </w:rPr>
        <w:t xml:space="preserve">  тысяч рублей .</w:t>
      </w:r>
      <w:r>
        <w:rPr>
          <w:sz w:val="24"/>
          <w:szCs w:val="24"/>
        </w:rPr>
        <w:t xml:space="preserve"> </w:t>
      </w:r>
      <w:r/>
    </w:p>
    <w:p>
      <w:pPr>
        <w:pStyle w:val="912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Общая сумма </w:t>
      </w:r>
      <w:r>
        <w:rPr>
          <w:sz w:val="28"/>
          <w:szCs w:val="28"/>
        </w:rPr>
        <w:t xml:space="preserve"> расходов бюджета Колыванского райо</w:t>
      </w:r>
      <w:r>
        <w:rPr>
          <w:sz w:val="28"/>
          <w:szCs w:val="28"/>
        </w:rPr>
        <w:t xml:space="preserve">на с учетом всех изменений </w:t>
      </w:r>
      <w:r>
        <w:rPr>
          <w:sz w:val="28"/>
          <w:szCs w:val="28"/>
        </w:rPr>
        <w:t xml:space="preserve"> на 2024 год </w:t>
      </w:r>
      <w:r>
        <w:rPr>
          <w:sz w:val="28"/>
          <w:szCs w:val="28"/>
        </w:rPr>
        <w:t xml:space="preserve">со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авит </w:t>
      </w:r>
      <w:r>
        <w:rPr>
          <w:sz w:val="28"/>
          <w:szCs w:val="28"/>
        </w:rPr>
        <w:t xml:space="preserve"> 2 024 359,4 тысяч рублей</w:t>
      </w:r>
      <w:r>
        <w:rPr>
          <w:bCs/>
          <w:sz w:val="28"/>
          <w:szCs w:val="28"/>
        </w:rPr>
        <w:t xml:space="preserve">,  в плановом периоде с учетом технических корректировок на 2025 год </w:t>
      </w:r>
      <w:r>
        <w:rPr>
          <w:sz w:val="28"/>
          <w:szCs w:val="28"/>
        </w:rPr>
        <w:t xml:space="preserve">1 473 577,2 </w:t>
      </w:r>
      <w:r>
        <w:rPr>
          <w:bCs/>
          <w:sz w:val="28"/>
          <w:szCs w:val="28"/>
        </w:rPr>
        <w:t xml:space="preserve"> тысяч рублей , на 2026 год </w:t>
      </w:r>
      <w:r>
        <w:rPr>
          <w:sz w:val="28"/>
          <w:szCs w:val="28"/>
        </w:rPr>
        <w:t xml:space="preserve">1 497 246,5  </w:t>
      </w:r>
      <w:r>
        <w:rPr>
          <w:bCs/>
          <w:sz w:val="28"/>
          <w:szCs w:val="28"/>
        </w:rPr>
        <w:t xml:space="preserve"> тысяч рублей. 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912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 xml:space="preserve">Дефицит бюджета Колыванского района  с учетом всех изменений</w:t>
      </w:r>
      <w:r>
        <w:rPr>
          <w:bCs/>
          <w:sz w:val="28"/>
          <w:szCs w:val="28"/>
        </w:rPr>
        <w:t xml:space="preserve"> на 2024 год </w:t>
      </w:r>
      <w:r>
        <w:rPr>
          <w:bCs/>
          <w:sz w:val="28"/>
          <w:szCs w:val="28"/>
        </w:rPr>
        <w:t xml:space="preserve"> будет находится в пределах </w:t>
      </w:r>
      <w:r>
        <w:rPr>
          <w:bCs/>
          <w:sz w:val="28"/>
          <w:szCs w:val="28"/>
        </w:rPr>
        <w:t xml:space="preserve">32543,9  тысяч рублей</w:t>
      </w:r>
      <w:r>
        <w:rPr>
          <w:bCs/>
          <w:sz w:val="28"/>
          <w:szCs w:val="28"/>
        </w:rPr>
        <w:t xml:space="preserve">, что  не превышает предельно допустимые значения, согласно требованиям бюджетного законодательства.</w:t>
      </w:r>
      <w:r>
        <w:rPr>
          <w:bCs/>
          <w:sz w:val="28"/>
          <w:szCs w:val="28"/>
        </w:rPr>
        <w:t xml:space="preserve"> В плановом периоде  на  2025 -2026 год дефицит отсутствует.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9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Задолженность по долговым обязательствам муниципального образования Колыванского района Новосибирской  области   отсутствует.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</w:r>
      <w:r/>
    </w:p>
    <w:p>
      <w:pPr>
        <w:pStyle w:val="9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</w:r>
      <w:r/>
    </w:p>
    <w:p>
      <w:pPr>
        <w:pStyle w:val="920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Все изменения</w:t>
      </w:r>
      <w:r>
        <w:rPr>
          <w:sz w:val="28"/>
          <w:szCs w:val="28"/>
        </w:rPr>
        <w:t xml:space="preserve"> по доходам и  расходам,</w:t>
      </w:r>
      <w:r>
        <w:rPr>
          <w:sz w:val="28"/>
          <w:szCs w:val="28"/>
        </w:rPr>
        <w:t xml:space="preserve"> внесенные в настоящий проект решения  представлены  в нижеприведенных таблицах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92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2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2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2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2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.</w:t>
      </w:r>
      <w:r>
        <w:rPr>
          <w:sz w:val="28"/>
          <w:szCs w:val="28"/>
          <w:highlight w:val="none"/>
        </w:rPr>
        <w:t xml:space="preserve">Изменения в доходную часть бюджета Колыванского района Новосибирской области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>
      <w:pPr>
        <w:pStyle w:val="92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Style w:val="768"/>
        <w:tblW w:w="0" w:type="auto"/>
        <w:tblLayout w:type="fixed"/>
        <w:tblLook w:val="04A0" w:firstRow="1" w:lastRow="0" w:firstColumn="1" w:lastColumn="0" w:noHBand="0" w:noVBand="1"/>
      </w:tblPr>
      <w:tblGrid>
        <w:gridCol w:w="2070"/>
        <w:gridCol w:w="4365"/>
        <w:gridCol w:w="2643"/>
        <w:gridCol w:w="1843"/>
        <w:gridCol w:w="3402"/>
      </w:tblGrid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Код вида дохода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Наименование групп, подгрупп,  статей доходов, подстатей, элементов, кодов подвидов  доходов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2024 год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2025 год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2026 год</w:t>
            </w:r>
            <w:r/>
            <w:r/>
          </w:p>
        </w:tc>
      </w:tr>
      <w:tr>
        <w:trPr>
          <w:trHeight w:val="456"/>
        </w:trPr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 </w:t>
            </w:r>
            <w:r/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Налоговые доходы</w:t>
            </w:r>
            <w:r/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327590,9-6828,4= 320762,5</w:t>
            </w:r>
            <w:r/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285037,9-4294,0= 280743,9</w:t>
            </w:r>
            <w:r/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301768,5-4583,8= 297184,7</w:t>
            </w:r>
            <w:r/>
            <w:r/>
          </w:p>
        </w:tc>
      </w:tr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00010100000000000000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Налоги на прибыль, доходы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255345,9-6828,4= 248517,5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207813,8-4294,0= 203519,8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220140,8-4583,8= 215557,0</w:t>
            </w:r>
            <w:r/>
            <w:r/>
          </w:p>
        </w:tc>
      </w:tr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00010102000000000110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 на доходы физических лиц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255345,9-6828,4= 248517,5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207813,8-4294,0= 203519,8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220140,8-4583,8= 215557,0</w:t>
            </w:r>
            <w:r/>
            <w:r/>
          </w:p>
        </w:tc>
      </w:tr>
      <w:tr>
        <w:trPr>
          <w:trHeight w:val="18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00010102010010000110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252197,9-6828,4= 245 369,5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205063,8-4294,0= 200769,8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217345,8-4583,8= 212762,0</w:t>
            </w:r>
            <w:r/>
            <w:r/>
          </w:p>
        </w:tc>
      </w:tr>
      <w:tr>
        <w:trPr>
          <w:trHeight w:val="2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00010102020011000110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ст. 227 Налогового кодекса Российской Федерации (сумма платежа (перерасчеты, недоимки и задолженности по соответствующему платежу, в том числе по отмененному)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737,00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649,00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689,00</w:t>
            </w:r>
            <w:r/>
            <w:r/>
          </w:p>
        </w:tc>
      </w:tr>
      <w:tr>
        <w:trPr>
          <w:trHeight w:val="24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00010102020013000110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ст.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1,00</w:t>
            </w:r>
            <w:r/>
            <w:r/>
          </w:p>
        </w:tc>
      </w:tr>
      <w:tr>
        <w:trPr>
          <w:trHeight w:val="13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00010102030011000110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 на доходы физических лиц с доходов, полученных физическими лицами в соответствии со ст.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2 300,00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2 000,00</w:t>
            </w:r>
            <w:r/>
            <w:r/>
          </w:p>
        </w:tc>
      </w:tr>
      <w:tr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00010102030013000110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 на доходы физических лиц с доходов, полученных физическими лицами в соответствии со ст.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10,00</w:t>
            </w:r>
            <w:r/>
            <w:r/>
          </w:p>
        </w:tc>
      </w:tr>
      <w:tr>
        <w:trPr>
          <w:trHeight w:val="19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00010102040011000110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 на доходы физических лиц в виде фиксированных авансовых платежей с доходов, полученных физическими лицами  являющимися иностранными гражданами осуществляющими трудовую деятельность по найму на основании патента в соответствии со статьёй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100,00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95,00</w:t>
            </w:r>
            <w:r/>
            <w:r/>
          </w:p>
        </w:tc>
      </w:tr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00010300000000000000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Налоги на товары (работы, услуги), реализуемые на территории Российской Федерации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6 367,40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7 474,00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7 532,30</w:t>
            </w:r>
            <w:r/>
            <w:r/>
          </w:p>
        </w:tc>
      </w:tr>
      <w:tr>
        <w:trPr>
          <w:trHeight w:val="5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00010302000010000110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Акцизы по подакцизным товарам (продукции), производимым на территории Российской Федерации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6 367,40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7 474,00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7 532,30</w:t>
            </w:r>
            <w:r/>
            <w:r/>
          </w:p>
        </w:tc>
      </w:tr>
      <w:tr>
        <w:trPr>
          <w:trHeight w:val="20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00010302231010000110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уплаты акцизов на дизельное топливо,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3 107,00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3 714,80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3 743,70</w:t>
            </w:r>
            <w:r/>
            <w:r/>
          </w:p>
        </w:tc>
      </w:tr>
      <w:tr>
        <w:trPr>
          <w:trHeight w:val="22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00010302241010000110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20,30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23,20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23,40</w:t>
            </w:r>
            <w:r/>
            <w:r/>
          </w:p>
        </w:tc>
      </w:tr>
      <w:tr>
        <w:trPr>
          <w:trHeight w:val="20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00010302251010000110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3 611,10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4 164,40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4 196,90</w:t>
            </w:r>
            <w:r/>
            <w:r/>
          </w:p>
        </w:tc>
      </w:tr>
      <w:tr>
        <w:trPr>
          <w:trHeight w:val="20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00010302261010000110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-371,00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-428,40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-431,70</w:t>
            </w:r>
            <w:r/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00010500000000000000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Налоги на совокупный доход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46 793,00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50 663,00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55 006,00</w:t>
            </w:r>
            <w:r/>
            <w:r/>
          </w:p>
        </w:tc>
      </w:tr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00010501000000000110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Налог, взимаемый в связи с применением упрощенной системы налогообложения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43 326,00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47 095,00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51 334,00</w:t>
            </w:r>
            <w:r/>
            <w:r/>
          </w:p>
        </w:tc>
      </w:tr>
      <w:tr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00010501011011000110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25 764,50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26 531,50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28 813,00</w:t>
            </w:r>
            <w:r/>
            <w:r/>
          </w:p>
        </w:tc>
      </w:tr>
      <w:tr>
        <w:trPr>
          <w:trHeight w:val="11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00010501011013000110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9,90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10,60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11,50</w:t>
            </w:r>
            <w:r/>
            <w:r/>
          </w:p>
        </w:tc>
      </w:tr>
      <w:tr>
        <w:trPr>
          <w:trHeight w:val="15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00010501021011000110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17 551,60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20 552,90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22 509,50</w:t>
            </w:r>
            <w:r/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00010503000000000110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Единый сельскохозяйственный налог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337,00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347,00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358,00</w:t>
            </w:r>
            <w:r/>
            <w:r/>
          </w:p>
        </w:tc>
      </w:tr>
      <w:tr>
        <w:trPr>
          <w:trHeight w:val="9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00010503010011000110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Единый сельскохозяйственный налог (сумма платежа (перерасчеты, недоимки и задолженность по соответствующему платежу, в том числе по отмененному)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337,00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347,00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358,00</w:t>
            </w:r>
            <w:r/>
            <w:r/>
          </w:p>
        </w:tc>
      </w:tr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00010504000000000110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 взимаемый с применением патентной системы налогообложения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3 130,00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3 221,00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3 314,00</w:t>
            </w:r>
            <w:r/>
            <w:r/>
          </w:p>
        </w:tc>
      </w:tr>
      <w:tr>
        <w:trPr>
          <w:trHeight w:val="11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00010504020021000110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 взимаемый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3 130,00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3 221,00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3 314,00</w:t>
            </w:r>
            <w:r/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00010600000000000000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Налоги на имущество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13 711,40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13 711,40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13 711,40</w:t>
            </w:r>
            <w:r/>
            <w:r/>
          </w:p>
        </w:tc>
      </w:tr>
      <w:tr>
        <w:trPr>
          <w:trHeight w:val="3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00010604000020000110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Транспортный налог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13 711,40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13 711,40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13 711,40</w:t>
            </w:r>
            <w:r/>
            <w:r/>
          </w:p>
        </w:tc>
      </w:tr>
      <w:tr>
        <w:trPr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00010604011020000110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Транспортный налог с организаций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2 087,10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2 087,10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2 087,10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00010604012020000110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Транспортный налог с физических лиц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11 624,30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11 624,30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11 624,30</w:t>
            </w:r>
            <w:r/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00010800000000000000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Государственная пошлина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5 373,20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5 375,70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5 378,00</w:t>
            </w:r>
            <w:r/>
            <w:r/>
          </w:p>
        </w:tc>
      </w:tr>
      <w:tr>
        <w:trPr>
          <w:trHeight w:val="7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00010803010010000110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5 373,20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5 375,70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5 378,00</w:t>
            </w:r>
            <w:r/>
            <w:r/>
          </w:p>
        </w:tc>
      </w:tr>
      <w:tr>
        <w:trPr>
          <w:trHeight w:val="480"/>
        </w:trPr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 </w:t>
            </w:r>
            <w:r/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Неналоговые доходы</w:t>
            </w:r>
            <w:r/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9370,4+270,8= 9641,2</w:t>
            </w:r>
            <w:r/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9 446,60</w:t>
            </w:r>
            <w:r/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9 486,00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00011100000000000000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использования имущества, находящегося в государственной и муниципальной собственности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5 406,50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5 406,50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5 364,40</w:t>
            </w:r>
            <w:r/>
            <w:r/>
          </w:p>
        </w:tc>
      </w:tr>
      <w:tr>
        <w:trPr>
          <w:trHeight w:val="15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00011105013050000120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4 014,40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4 014,40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4 014,40</w:t>
            </w:r>
            <w:r/>
            <w:r/>
          </w:p>
        </w:tc>
      </w:tr>
      <w:tr>
        <w:trPr>
          <w:trHeight w:val="13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00011105013130000120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 , а также средства от продажи права на заключение договоров аренды указанных земельных участков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1 144,30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1 144,30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1 144,30</w:t>
            </w:r>
            <w:r/>
            <w:r/>
          </w:p>
        </w:tc>
      </w:tr>
      <w:tr>
        <w:trPr>
          <w:trHeight w:val="13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00011105025050000120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177,50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177,50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135,40</w:t>
            </w:r>
            <w:r/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00011105035050000120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сдачи в аренду имущества находящегося в оперативном управлении органов управления муниципальных районов и созданных ими учреждений ( за исключением имущества муниципальных бюджетных и автономных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70,30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70,30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70,30</w:t>
            </w:r>
            <w:r/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00011200000000000000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Платежи при пользовании природными ресурсами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298,90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298,90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298,90</w:t>
            </w:r>
            <w:r/>
            <w:r/>
          </w:p>
        </w:tc>
      </w:tr>
      <w:tr>
        <w:trPr>
          <w:trHeight w:val="10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00011201010016000120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281,90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281,90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281,90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00011201041016000120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17,00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17,00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17,00</w:t>
            </w:r>
            <w:r/>
            <w:r/>
          </w:p>
        </w:tc>
      </w:tr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00011300000000000000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оказания платных услуг и компенсации затрат государства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2011,6+270,8= 2282,4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2 087,80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2 169,30</w:t>
            </w:r>
            <w:r/>
            <w:r/>
          </w:p>
        </w:tc>
      </w:tr>
      <w:tr>
        <w:trPr>
          <w:trHeight w:val="6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00011301995050012130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Прочие доходы от оказания платных услуг (работ) получателями средств бюджетов муниципальных районов (МКУ Колыванский краеведческий музей»)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470,00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475,00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480,00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00011301995050014130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Прочие доходы от оказания платных услуг (работ) получателями средств бюджетов муниципальных районов (МКУ Центр развития культуры Колыванского района Новосибирской области»)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1230,3+150,8=  1381,10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1 249,90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1 262,90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00011301995050015130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Прочие доходы от оказания платных услуг (работ) получателями средств бюджетов муниципальных районов (МКУ "Районный клуб развития физической культуры и спорта")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260,00+120,00=  380,00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260,00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260,00</w:t>
            </w:r>
            <w:r/>
            <w:r/>
          </w:p>
        </w:tc>
      </w:tr>
      <w:tr>
        <w:trPr>
          <w:trHeight w:val="7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00011302065050000130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Доходы, поступающие в порядке возмещения расходов, понесенных в связи с эксплуатацией имущества муниципальных районов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51,30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102,90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166,40</w:t>
            </w:r>
            <w:r/>
            <w:r/>
          </w:p>
        </w:tc>
      </w:tr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00011400000000000000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продажи материальных и нематериальных активов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200,00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200,00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200,00</w:t>
            </w:r>
            <w:r/>
            <w:r/>
          </w:p>
        </w:tc>
      </w:tr>
      <w:tr>
        <w:trPr>
          <w:trHeight w:val="16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00011402053050000410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200,00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200,00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200,00</w:t>
            </w:r>
            <w:r/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00011600000000000000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Штрафы, санкции, возмещение ущерба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1 453,40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1 453,40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1 453,40</w:t>
            </w:r>
            <w:r/>
            <w:r/>
          </w:p>
        </w:tc>
      </w:tr>
      <w:tr>
        <w:trPr>
          <w:trHeight w:val="13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00011601053010000140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9,50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9,50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9,50</w:t>
            </w:r>
            <w:r/>
            <w:r/>
          </w:p>
        </w:tc>
      </w:tr>
      <w:tr>
        <w:trPr>
          <w:trHeight w:val="17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00011601063010000140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50,00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50,00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50,00</w:t>
            </w:r>
            <w:r/>
            <w:r/>
          </w:p>
        </w:tc>
      </w:tr>
      <w:tr>
        <w:trPr>
          <w:trHeight w:val="133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00011601073010000140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47,00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47,00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47,00</w:t>
            </w:r>
            <w:r/>
            <w:r/>
          </w:p>
        </w:tc>
      </w:tr>
      <w:tr>
        <w:trPr>
          <w:trHeight w:val="16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00011601083010000140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24,00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24,00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24,00</w:t>
            </w:r>
            <w:r/>
            <w:r/>
          </w:p>
        </w:tc>
      </w:tr>
      <w:tr>
        <w:trPr>
          <w:trHeight w:val="18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00011601143010000140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11,00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11,00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11,00</w:t>
            </w:r>
            <w:r/>
            <w:r/>
          </w:p>
        </w:tc>
      </w:tr>
      <w:tr>
        <w:trPr>
          <w:trHeight w:val="16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00011601203010000140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723,90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723,90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723,90</w:t>
            </w:r>
            <w:r/>
            <w:r/>
          </w:p>
        </w:tc>
      </w:tr>
      <w:tr>
        <w:trPr>
          <w:trHeight w:val="13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00011607010050000140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76,00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76,00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76,00</w:t>
            </w:r>
            <w:r/>
            <w:r/>
          </w:p>
        </w:tc>
      </w:tr>
      <w:tr>
        <w:trPr>
          <w:trHeight w:val="13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00011607090050000140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88,00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88,00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88,00</w:t>
            </w:r>
            <w:r/>
            <w:r/>
          </w:p>
        </w:tc>
      </w:tr>
      <w:tr>
        <w:trPr>
          <w:trHeight w:val="253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00011610123010051140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44,00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44,00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44,00</w:t>
            </w:r>
            <w:r/>
            <w:r/>
          </w:p>
        </w:tc>
      </w:tr>
      <w:tr>
        <w:trPr>
          <w:trHeight w:val="18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00011611050010000140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380,00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380,00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380,00</w:t>
            </w:r>
            <w:r/>
            <w:r/>
          </w:p>
        </w:tc>
      </w:tr>
      <w:tr>
        <w:trPr>
          <w:trHeight w:val="570"/>
        </w:trPr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/>
            <w:r/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Всего доходов налоговых и неналоговых</w:t>
            </w:r>
            <w:r/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336961,3-6557,6= 330403,7</w:t>
            </w:r>
            <w:r/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294484,5-4294,0= 290190,5</w:t>
            </w:r>
            <w:r/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311254,5-4583,8= 306670,7</w:t>
            </w:r>
            <w:r/>
            <w:r/>
          </w:p>
        </w:tc>
      </w:tr>
      <w:tr>
        <w:trPr>
          <w:trHeight w:val="5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20000000000000000000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Безвозмездные поступления</w:t>
            </w:r>
            <w:r/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1 661 411,80</w:t>
            </w:r>
            <w:r/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1 183 386,70</w:t>
            </w:r>
            <w:r/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1 190 575,80</w:t>
            </w:r>
            <w:r/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Дотация  бюджетам муниципальных районов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90 589,90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48 994,7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51062,8</w:t>
            </w:r>
            <w:r/>
            <w:r/>
          </w:p>
        </w:tc>
      </w:tr>
      <w:tr>
        <w:trPr>
          <w:trHeight w:val="456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00020215001050000150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Дотации бюджетам муниципальных районов  на выравнивание бюджетной обеспеченности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90 589,90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48 994,70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51 062,80</w:t>
            </w:r>
            <w:r/>
            <w:r/>
          </w:p>
        </w:tc>
      </w:tr>
      <w:tr>
        <w:trPr>
          <w:trHeight w:val="8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00020220000000000150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739 449,10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278 340,70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241 207,10</w:t>
            </w:r>
            <w:r/>
            <w:r/>
          </w:p>
        </w:tc>
      </w:tr>
      <w:tr>
        <w:trPr>
          <w:trHeight w:val="97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00020220077050000150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строительство (приобретение на первичном рынке) служебного жилья государственной программы Новосибирской области "Стимулирование развития жилищного строительства в Новосибирской области"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31 913,20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0,00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0,00</w:t>
            </w:r>
            <w:r/>
            <w:r/>
          </w:p>
        </w:tc>
      </w:tr>
      <w:tr>
        <w:trPr>
          <w:trHeight w:val="112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00020220077050000150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"Охрана окружающей среды" 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83 977,30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82 727,40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40 072,30</w:t>
            </w:r>
            <w:r/>
            <w:r/>
          </w:p>
        </w:tc>
      </w:tr>
      <w:tr>
        <w:trPr>
          <w:trHeight w:val="138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00020220077050000150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строительству и реконструкции объектов централизованных систем холодного водоснабжения и водоотведения государственной программы Новосибирской области "Жилищно-коммунальное хозяйство Новосибирской области"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32 655,00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43 378,00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0,00</w:t>
            </w:r>
            <w:r/>
            <w:r/>
          </w:p>
        </w:tc>
      </w:tr>
      <w:tr>
        <w:trPr>
          <w:trHeight w:val="138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00020220077050000150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"Развитие системы обращения с отходами производства и потребления в Новосибирской области" 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0,00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3 000,00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22 835,00</w:t>
            </w:r>
            <w:r/>
            <w:r/>
          </w:p>
        </w:tc>
      </w:tr>
      <w:tr>
        <w:trPr>
          <w:trHeight w:val="136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00020220077050000150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строительству и реконструкции котельных, тепловых сетей, включая вынос водопроводов из каналов тепловой сети, государственной программы Новосибирской области "Энергосбережение и повышение энергетической эффективности Новосибирской области" 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9 481,20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0,00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14 827,20</w:t>
            </w:r>
            <w:r/>
            <w:r/>
          </w:p>
        </w:tc>
      </w:tr>
      <w:tr>
        <w:trPr>
          <w:trHeight w:val="162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00020220216050000150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36 987,20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35 339,80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34 041,80</w:t>
            </w:r>
            <w:r/>
            <w:r/>
          </w:p>
        </w:tc>
      </w:tr>
      <w:tr>
        <w:trPr>
          <w:trHeight w:val="181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00020225098050000150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1 888,60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0,00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0,00</w:t>
            </w:r>
            <w:r/>
            <w:r/>
          </w:p>
        </w:tc>
      </w:tr>
      <w:tr>
        <w:trPr>
          <w:trHeight w:val="186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00020225172050000150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обновление материально-технической базы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программам,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2 000,00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2 000,00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2 000,00</w:t>
            </w:r>
            <w:r/>
            <w:r/>
          </w:p>
        </w:tc>
      </w:tr>
      <w:tr>
        <w:trPr>
          <w:trHeight w:val="163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00020225304050000150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организациях,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16 965,90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17 644,20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18 351,70</w:t>
            </w:r>
            <w:r/>
            <w:r/>
          </w:p>
        </w:tc>
      </w:tr>
      <w:tr>
        <w:trPr>
          <w:trHeight w:val="136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00020225467050000150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обеспечению развития и укрепления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 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1 108,70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1 102,80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1 116,20</w:t>
            </w:r>
            <w:r/>
            <w:r/>
          </w:p>
        </w:tc>
      </w:tr>
      <w:tr>
        <w:trPr>
          <w:trHeight w:val="75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00020225519050000150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государственную поддержку отрасли культуры государственной программы Новосибирской области "Культура Новосибирской области"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293,20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293,50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301,10</w:t>
            </w:r>
            <w:r/>
            <w:r/>
          </w:p>
        </w:tc>
      </w:tr>
      <w:tr>
        <w:trPr>
          <w:trHeight w:val="14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00020225527050000150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софинансирование муниципальных программ развития малого и среднего предпринимательства государственной программы Новосибирской области "Развитие субъектов малого и среднего предпринимательства в Новосибирской области" 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407,40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407,40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407,40</w:t>
            </w:r>
            <w:r/>
            <w:r/>
          </w:p>
        </w:tc>
      </w:tr>
      <w:tr>
        <w:trPr>
          <w:trHeight w:val="117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00020225750050000150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модернизации школьных систем образования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56 108,80</w:t>
            </w:r>
            <w:r/>
            <w:r/>
          </w:p>
        </w:tc>
      </w:tr>
      <w:tr>
        <w:trPr>
          <w:trHeight w:val="17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110 900,00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3 600,00</w:t>
            </w:r>
            <w:r/>
            <w:r/>
          </w:p>
        </w:tc>
      </w:tr>
      <w:tr>
        <w:trPr>
          <w:trHeight w:val="90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оздоровлению детей государственной программы Новосибирской области "Социальная поддержка в Новосибирской области" 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2 748,40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2 748,40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2 748,40</w:t>
            </w:r>
            <w:r/>
            <w:r/>
          </w:p>
        </w:tc>
      </w:tr>
      <w:tr>
        <w:trPr>
          <w:trHeight w:val="138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софинансирование мероприятий муниципальных программ развития территориального общественного самоуправления в Новосибирской области государственной программы Новосибирской области "Развитие институтов региональной политики и гражданского общества в Новосибирской области»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619,80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619,80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619,80</w:t>
            </w:r>
            <w:r/>
            <w:r/>
          </w:p>
        </w:tc>
      </w:tr>
      <w:tr>
        <w:trPr>
          <w:trHeight w:val="202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осуществлению малобюджетного строительства, реконструкции, благоустройства, ремонта спортивных сооружений, обеспечения оборудованием и инвентарем спортивных объектов, приобретения объектов недвижимого имущества спортивного назначения государственной программы Новосибирской области "Развитие физической культуры и спорта в Новосибирской области"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0,00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10 000,00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0,00</w:t>
            </w:r>
            <w:r/>
            <w:r/>
          </w:p>
        </w:tc>
      </w:tr>
      <w:tr>
        <w:trPr>
          <w:trHeight w:val="141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обеспечению жилыми помещениями многодетных малообеспеченных семей по договорам социального найма государственной программы Новосибирской области "Стимулирование развития жилищного строительства в Новосибирской области" 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11 500,00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10 000,00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0,00</w:t>
            </w:r>
            <w:r/>
            <w:r/>
          </w:p>
        </w:tc>
      </w:tr>
      <w:tr>
        <w:trPr>
          <w:trHeight w:val="15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мероприятий, направленных на подготовку проектов межевания земельных участков и на проведение кадастровых работ, государственной программы Новосибирской области "Развитие сельского хозяйства и регулирование рынков сельскохозяйственной продукции, сырья и продовольствия в Новосибирской области"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0,00</w:t>
            </w:r>
            <w:r/>
            <w:r/>
          </w:p>
        </w:tc>
      </w:tr>
      <w:tr>
        <w:trPr>
          <w:trHeight w:val="15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осуществление полномочий по организации регулярных перевозок пассажиров и багажа по муниципальным маршрутам государственной программы Новосибирской области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области" 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4 253,40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4 253,40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4 253,40</w:t>
            </w:r>
            <w:r/>
            <w:r/>
          </w:p>
        </w:tc>
      </w:tr>
      <w:tr>
        <w:trPr>
          <w:trHeight w:val="157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организации функционирования систем жизнеобеспечения и снабжению населения топливом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30 316,40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30 316,40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30 316,40</w:t>
            </w:r>
            <w:r/>
            <w:r/>
          </w:p>
        </w:tc>
      </w:tr>
      <w:tr>
        <w:trPr>
          <w:trHeight w:val="141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8 688,50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8 688,50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8 688,50</w:t>
            </w:r>
            <w:r/>
            <w:r/>
          </w:p>
        </w:tc>
      </w:tr>
      <w:tr>
        <w:trPr>
          <w:trHeight w:val="15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содействию созданию новых мест в образовательных организациях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4 500,00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0,00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0,00</w:t>
            </w:r>
            <w:r/>
            <w:r/>
          </w:p>
        </w:tc>
      </w:tr>
      <w:tr>
        <w:trPr>
          <w:trHeight w:val="162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подготовку градостроительной документации и (или) внесение в нее изменений подпрограммы "Градостроительная подготовка территорий и фонд пространственных данных Новосибирской области" государственной программы Новосибирской области "Стимулирование развития жилищного строительства в Новосибирской области" 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1 916,50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13 648,70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0,00</w:t>
            </w:r>
            <w:r/>
            <w:r/>
          </w:p>
        </w:tc>
      </w:tr>
      <w:tr>
        <w:trPr>
          <w:trHeight w:val="160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установке и модернизации систем видеонаблюдения, автоматической пожарной сигнализации и пожарного мониторинга государственной программы Новосибирской области "Построение и развитие аппаратно-программного комплекса "Безопасный город" в Новосибирской области" 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600,00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600,00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600,00</w:t>
            </w:r>
            <w:r/>
            <w:r/>
          </w:p>
        </w:tc>
      </w:tr>
      <w:tr>
        <w:trPr>
          <w:trHeight w:val="112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комплектованию библиотечных фондов муниципальных общедоступных библиотек Новосибирской области государственной программы Новосибирской области "Культура Новосибирской области" 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319,10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319,10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319,10</w:t>
            </w:r>
            <w:r/>
            <w:r/>
          </w:p>
        </w:tc>
      </w:tr>
      <w:tr>
        <w:trPr>
          <w:trHeight w:val="138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в области использования и охраны водных объектов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0,00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2 640,00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0,00</w:t>
            </w:r>
            <w:r/>
            <w:r/>
          </w:p>
        </w:tc>
      </w:tr>
      <w:tr>
        <w:trPr>
          <w:trHeight w:val="11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модернизации и развитию инфраструктуры связи на территории Новосибирской области государственной программы Новосибирской области "Цифровая трансформация Новосибирской области" 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0,00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5 013,30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0,00</w:t>
            </w:r>
            <w:r/>
            <w:r/>
          </w:p>
        </w:tc>
      </w:tr>
      <w:tr>
        <w:trPr>
          <w:trHeight w:val="96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345 409,30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0,00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0,00</w:t>
            </w:r>
            <w:r/>
            <w:r/>
          </w:p>
        </w:tc>
      </w:tr>
      <w:tr>
        <w:trPr>
          <w:trHeight w:val="85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00020230000000000150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Субвенции бюджетам субъектов Российской Федерации и муниципальных образований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796 242,20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823 505,90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866 191,60</w:t>
            </w:r>
            <w:r/>
            <w:r/>
          </w:p>
        </w:tc>
      </w:tr>
      <w:tr>
        <w:trPr>
          <w:trHeight w:val="70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реализацию основных общеобразовательных программ в муниципальных общеобразовательных организациях 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280 934,10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304 407,10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327 515,00</w:t>
            </w:r>
            <w:r/>
            <w:r/>
          </w:p>
        </w:tc>
      </w:tr>
      <w:tr>
        <w:trPr>
          <w:trHeight w:val="684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социальную поддержку отдельных категорий детей, обучающихся в образовательных организациях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19 177,10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19 177,10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19 177,10</w:t>
            </w:r>
            <w:r/>
            <w:r/>
          </w:p>
        </w:tc>
      </w:tr>
      <w:tr>
        <w:trPr>
          <w:trHeight w:val="76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образование и организацию деятельности комиссий по делам несовершеннолетних и защите их прав 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1 623,70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1 650,90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1 761,50</w:t>
            </w:r>
            <w:r/>
            <w:r/>
          </w:p>
        </w:tc>
      </w:tr>
      <w:tr>
        <w:trPr>
          <w:trHeight w:val="9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52 150,10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61 629,50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63 787,30</w:t>
            </w:r>
            <w:r/>
            <w:r/>
          </w:p>
        </w:tc>
      </w:tr>
      <w:tr>
        <w:trPr>
          <w:trHeight w:val="9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по обеспечению социального обслуживания отдельных категорий граждан 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49 906,40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54 841,10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59 330,90</w:t>
            </w:r>
            <w:r/>
            <w:r/>
          </w:p>
        </w:tc>
      </w:tr>
      <w:tr>
        <w:trPr>
          <w:trHeight w:val="13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103,60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105,10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111,30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по решению вопросов в сфере административных правонарушений 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7,50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7,60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8,10</w:t>
            </w:r>
            <w:r/>
            <w:r/>
          </w:p>
        </w:tc>
      </w:tr>
      <w:tr>
        <w:trPr>
          <w:trHeight w:val="87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по расчету и предоставлению дотаций бюджетам поселений 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67 949,20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42 729,20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45 612,80</w:t>
            </w:r>
            <w:r/>
            <w:r/>
          </w:p>
        </w:tc>
      </w:tr>
      <w:tr>
        <w:trPr>
          <w:trHeight w:val="15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по организации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111 425,80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116 128,60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124 047,60</w:t>
            </w:r>
            <w:r/>
            <w:r/>
          </w:p>
        </w:tc>
      </w:tr>
      <w:tr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реализацию основных общеобразовательных программ дошкольного образования в муниципальных образовательных организациях 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113 363,50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126 396,40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138 449,10</w:t>
            </w:r>
            <w:r/>
            <w:r/>
          </w:p>
        </w:tc>
      </w:tr>
      <w:tr>
        <w:trPr>
          <w:trHeight w:val="91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393,80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400,30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427,10</w:t>
            </w:r>
            <w:r/>
            <w:r/>
          </w:p>
        </w:tc>
      </w:tr>
      <w:tr>
        <w:trPr>
          <w:trHeight w:val="684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организацию мероприятий при осуществлении деятельности по обращению с животными без владельцев 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550,00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550,00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550,00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00020235082050000150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95 316,30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91 797,00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81 239,20</w:t>
            </w:r>
            <w:r/>
            <w:r/>
          </w:p>
        </w:tc>
      </w:tr>
      <w:tr>
        <w:trPr>
          <w:trHeight w:val="91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00020235118050000150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3 328,50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3 673,00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4 023,20</w:t>
            </w:r>
            <w:r/>
            <w:r/>
          </w:p>
        </w:tc>
      </w:tr>
      <w:tr>
        <w:trPr>
          <w:trHeight w:val="91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00020235120050000150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12,60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13,00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151,40</w:t>
            </w:r>
            <w:r/>
            <w:r/>
          </w:p>
        </w:tc>
      </w:tr>
      <w:tr>
        <w:trPr>
          <w:trHeight w:val="7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00020240000000000150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35 130,60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32 545,40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32 114,30</w:t>
            </w:r>
            <w:r/>
            <w:r/>
          </w:p>
        </w:tc>
      </w:tr>
      <w:tr>
        <w:trPr>
          <w:trHeight w:val="11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00020240014050000150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заключёнными соглашениями 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204,70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204,70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204,70</w:t>
            </w:r>
            <w:r/>
            <w:r/>
          </w:p>
        </w:tc>
      </w:tr>
      <w:tr>
        <w:trPr>
          <w:trHeight w:val="157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00020245303050000150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21 385,30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21 385,30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21 479,10</w:t>
            </w:r>
            <w:r/>
            <w:r/>
          </w:p>
        </w:tc>
      </w:tr>
      <w:tr>
        <w:trPr>
          <w:trHeight w:val="20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00020249999050000150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обеспечение питанием на льготных условиях детей военнослужащих, обучающихся по программам основного общего образования и среднего общего образования в государственных и муниципальных образовательных организациях,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204,90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0,00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0,00</w:t>
            </w:r>
            <w:r/>
            <w:r/>
          </w:p>
        </w:tc>
      </w:tr>
      <w:tr>
        <w:trPr>
          <w:trHeight w:val="181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00020249999050000150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реализацию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3 200,00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3 200,00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3 200,00</w:t>
            </w:r>
            <w:r/>
            <w:r/>
          </w:p>
        </w:tc>
      </w:tr>
      <w:tr>
        <w:trPr>
          <w:trHeight w:val="15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00020249999050000150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создание социально-экономических условий для повышения качества жизни граждан пожилого возраста, степени их социальной защищенности, содействие их активному участию в жизни общества государственной программы Новосибирской области "Социальная поддержка в Новосибирской области"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49,60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0,00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0,00</w:t>
            </w:r>
            <w:r/>
            <w:r/>
          </w:p>
        </w:tc>
      </w:tr>
      <w:tr>
        <w:trPr>
          <w:trHeight w:val="11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00020249999050000150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реализацию мероприятий по обеспечению жильем молодых семей государственной программы Новосибирской области "Стимулирование развития жилищного строительства в Новосибирской области"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1 114,30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1 114,30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1 114,30</w:t>
            </w:r>
            <w:r/>
            <w:r/>
          </w:p>
        </w:tc>
      </w:tr>
      <w:tr>
        <w:trPr>
          <w:trHeight w:val="115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00020249999050000150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организацию и проведение мероприятий с целью расширения прав инвалидов государственной программы Новосибирской области "Социальная поддержка в Новосибирской области"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24,00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24,00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24,00</w:t>
            </w:r>
            <w:r/>
            <w:r/>
          </w:p>
        </w:tc>
      </w:tr>
      <w:tr>
        <w:trPr>
          <w:trHeight w:val="13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00020249999050000150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обеспечение мероприятий по улучшению жилищных условий граждан, проживающих на сельских территориях, государственной программы Новосибирской области "Комплексное развитие сельских территорий в Новосибирской области" 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0,00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0,00</w:t>
            </w:r>
            <w:r/>
            <w:r/>
          </w:p>
        </w:tc>
      </w:tr>
      <w:tr>
        <w:trPr>
          <w:trHeight w:val="11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00020249999050000150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"Социальная поддержка в Новосибирской области"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3 807,90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0,00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0,00</w:t>
            </w:r>
            <w:r/>
            <w:r/>
          </w:p>
        </w:tc>
      </w:tr>
      <w:tr>
        <w:trPr>
          <w:trHeight w:val="184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00020245179050000150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5 130,40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6 607,60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6 082,70</w:t>
            </w:r>
            <w:r/>
            <w:r/>
          </w:p>
        </w:tc>
      </w:tr>
      <w:tr>
        <w:trPr>
          <w:trHeight w:val="1824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00020249999050000150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обеспечение проезда детей и совершеннолетних граждан-сопровождающих организованные группы детей к месту отдыха и обратно при условии нахождения места отдыха за пределами Новосибирской области подпрограммы "Семья и дети" государственной программы Новосибирской области "Социальная поддержка в Новосибирской области"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9,50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9,50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9,50</w:t>
            </w:r>
            <w:r/>
            <w:r/>
          </w:p>
        </w:tc>
      </w:tr>
      <w:tr>
        <w:trPr>
          <w:trHeight w:val="630"/>
        </w:trPr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 </w:t>
            </w:r>
            <w:r/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Итого доходов</w:t>
            </w:r>
            <w:r/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3" w:type="dxa"/>
            <w:textDirection w:val="lrTb"/>
            <w:noWrap w:val="false"/>
          </w:tcPr>
          <w:p>
            <w:r>
              <w:t xml:space="preserve">1998373,1-6557,6= 1991815,5</w:t>
            </w:r>
            <w:r/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r>
              <w:t xml:space="preserve">1477871,2-4294,0= 1473577,2</w:t>
            </w:r>
            <w:r/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r>
              <w:t xml:space="preserve">1501830,3-4583,8= 1497246,5</w:t>
            </w:r>
            <w:r/>
            <w:r/>
          </w:p>
        </w:tc>
      </w:tr>
    </w:tbl>
    <w:p>
      <w:pPr>
        <w:pStyle w:val="920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Изменение  бюджетных ассигнований бюджета Колыванского района по разделам, подразделам, целевым статьям (муниципальным программ и непрограммным направлениям деятельности) группам и подгруппам видов расходов классификации расходов бюджета на 2024 год</w:t>
      </w:r>
      <w:r>
        <w:rPr>
          <w:sz w:val="28"/>
          <w:szCs w:val="28"/>
        </w:rPr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tbl>
      <w:tblPr>
        <w:tblStyle w:val="768"/>
        <w:tblW w:w="0" w:type="auto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>
        <w:trPr>
          <w:trHeight w:val="375"/>
        </w:trPr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vMerge w:val="restart"/>
            <w:textDirection w:val="lrTb"/>
            <w:noWrap w:val="false"/>
          </w:tcPr>
          <w:p>
            <w:r>
              <w:t xml:space="preserve">КОСГУ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vMerge w:val="restart"/>
            <w:textDirection w:val="lrTb"/>
            <w:noWrap w:val="false"/>
          </w:tcPr>
          <w:p>
            <w:r>
              <w:t xml:space="preserve">Сумма на 2024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vMerge w:val="restart"/>
            <w:textDirection w:val="lrTb"/>
            <w:noWrap w:val="false"/>
          </w:tcPr>
          <w:p>
            <w:r>
              <w:t xml:space="preserve">уменьшение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vMerge w:val="restart"/>
            <w:textDirection w:val="lrTb"/>
            <w:noWrap w:val="false"/>
          </w:tcPr>
          <w:p>
            <w:r>
              <w:t xml:space="preserve">К утверждению</w:t>
            </w:r>
            <w:r/>
          </w:p>
        </w:tc>
      </w:tr>
      <w:tr>
        <w:trPr>
          <w:trHeight w:val="84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Наименование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РЗ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ПР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КЦСР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КВР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Подвид (код)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увеличение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ОБЩЕГОСУДАРСТВЕННЫЕ ВОПРОСЫ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160 126,0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17957,3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30904,6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147178,7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Функционирование высшего должностного лица субъекта Российской Федерации и муниципального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3 245,4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3 245,4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3 245,4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3 245,4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2 388,2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2 388,2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оплату труда и содержание аппарта управления представительного органа местного самоуправления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99.0.00.01990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50,5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50,5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оплату труда председателя представительного органа местного самоуправления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99.0.00.04110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2 337,7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2 337,7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66 142,6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66242,6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обеспечение выполнения функций муниципальных органов власти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58 179,2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3703,0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54576,2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51 157,1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3703,0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47554,1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6 399,1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6 399,1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623,0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623,0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Образование и организация деятельности комиссий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1 623,7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1 623,7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1 299,3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1 299,3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324,4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324,4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социального обслуживания отдельных категорий граждан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2 853,7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2 853,7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2 366,2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2 366,2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487,5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487,5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Решение вопросов в сфере административных правонарушений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7,5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0,3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Субвенции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1,2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Уведомительная регистрация коллективных договоров, территориальных соглашений и территориальных отраслевых (межотраслевых) соглашений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393,8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393,8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328,3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328,3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65,5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103,6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103,6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90,1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90,1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13,5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13,5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2 981,1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2 981,1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2 316,2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2 316,2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664,9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664,9</w:t>
            </w:r>
            <w:r/>
          </w:p>
        </w:tc>
      </w:tr>
      <w:tr>
        <w:trPr>
          <w:trHeight w:val="6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3703,0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3 703,0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Судебная система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12,6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Составление (изменение) списков кандидатов в присяжные заседатели федеральных судов общей юрисдикции в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99.0.00.51200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12,6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2 938,4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2 938,4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обеспечение функций контрольно- счетного органа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2 938,4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241,0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2697,4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2 929,4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241,0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2688,4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9,0</w:t>
            </w:r>
            <w:r/>
          </w:p>
        </w:tc>
      </w:tr>
      <w:tr>
        <w:trPr>
          <w:trHeight w:val="6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241,0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241,0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проведения выборов и референдумов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1 202,4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700,0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502,4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обеспечение мероприятий, направленных на подготовку и проведение выборов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1 202,4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700,0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502,4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Резервные фонды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300,0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Резервный фонд администрации Колыванского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300,0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Другие общегосударственные вопросы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83 896,4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17857,3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30204,6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71549,1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Расходы, направленные на содержание Колыванского центра ЕДДС, системы 112, материально-технического сопровождения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26 061,1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2056,8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24004,3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23 938,1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2056,8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21881,3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2 101,0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2 101,0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22,0</w:t>
            </w:r>
            <w:r/>
          </w:p>
        </w:tc>
      </w:tr>
      <w:tr>
        <w:trPr>
          <w:trHeight w:val="6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2116,8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2116,8</w:t>
            </w:r>
            <w:r/>
          </w:p>
        </w:tc>
      </w:tr>
      <w:tr>
        <w:trPr>
          <w:trHeight w:val="6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2056,8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2056,8</w:t>
            </w:r>
            <w:r/>
          </w:p>
        </w:tc>
      </w:tr>
      <w:tr>
        <w:trPr>
          <w:trHeight w:val="9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60,0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Муниципальная программа "Развитие и поддержка территориального общественного самоуправления на территории Колыванского района Новосибирской области на 2024-2026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29.0.00.00000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630,5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630,5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Реализация территориального общественного самоуправления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29.0.00.70610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619,8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619,8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реализации территориального общественного самоуправления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29.0.00.S0610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10,7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Оценка недвижимости, признание прав и регулирование отношений по муниципальной собственности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15740,5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16340,5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Возмещение гражданам ущерба в результате отчуждения (изъятия) принадлежащего им имущества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56 454,8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28147,8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28307,0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НАЦИОНАЛЬНАЯ ОБОРОНА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3 328,5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3 328,5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Мобилизационная и вневойсковая подготовка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3 328,5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3 328,5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Осуществление первичного воинского учета органами местного самоуправления поселений, муниципальных и городских округов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99.0.00.51180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3 328,5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3 328,5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8 889,3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8 889,3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8 889,3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8 889,3</w:t>
            </w:r>
            <w:r/>
          </w:p>
        </w:tc>
      </w:tr>
      <w:tr>
        <w:trPr>
          <w:trHeight w:val="3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и осуществление мероприятий по гражданской обороне, защите населения и территории Колыванского района от чрезвычайных ситуаций природного и техногенного характера в ра</w:t>
            </w:r>
            <w:r>
              <w:t xml:space="preserve">мках реализации муниципальной программы "Организация и осуществление мероприятий по гражданской обороне, защите населения и территории Колыванского района Новосибирской области от чрезвычайных ситуаций природного и техногенного характера на 2022-2024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18.0.00.11010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Расходы, направленные на содержание Колыванского центра ЕДДС, системы 112, материально-технического сопровождения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28.1.00.10120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8 789,3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8 789,3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28.1.00.10120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6 261,0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6 261,0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28.1.00.10120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2 528,3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2 528,3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НАЦИОНАЛЬНАЯ ЭКОНОМИКА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154 321,3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6658,8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4570,0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156410,1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Сельское хозяйство и рыболовство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650,0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 в рамках муниципальной программы "Развитие сельского хозяйства и регулирование сельскохозяйственных рынков сырья и продовольствия в Колыванском  районе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19.0.00.12020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мероприятий при осуществлении деятельности по обращению с животными без владельцев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550,0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Водное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83 977,3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83 977,3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Защита территорий населенных пунктов Новосибирской области от подтопления и затопления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18.0.00.70870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83 977,3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83 977,3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Транспорт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5 400,9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16,7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5417,6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Осуществление полномочий по организации регулярных перевозок пассажиров и багажа по муниципальным маршрутам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20.0.00.71100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5 276,3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5 276,3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организации регулярных перевозок пассажиров и багажа по муниципальным маршрутам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20.0.00.S1100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73,6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16,7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90,3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Отдельные мероприятия в области автомобильного транспорта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99.0.00.12030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51,0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Дорожное хозяйство (дорожные фонды)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57 066,0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6642,1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63708,1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Мероприятия, направленные на развитие муниципальных дорог за счет средств "Дорожного фонда"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20.0.00.12050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19 473,5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179,0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19652,5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20.0.00.12050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15 227,1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179,0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15406,1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межбюджетные трансферты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20.0.00.12050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4 246,5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4 246,5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Устойчивое функционирование автомобильных дорог местного значения и искусственных сооружений на них, а также улично-дорожной сети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20.0.00.70760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36 987,2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36 987,2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20.0.00.70760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36 987,2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2872,7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34114,5</w:t>
            </w:r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20.0.00.70760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2872,7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2872,7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устойчивому функционированию автомобильных дорог местного значения и искусственных сооружений на них, а также улично-дорожной сети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20.0.00.S0760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605,3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30,9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636,2</w:t>
            </w:r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Реализация мероприятий по инициативным проектам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99.0.00.12060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6432,2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6432,2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Другие вопросы в области национальной экономики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7 227,1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4570,0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2657,1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Развитие малого и среднего предпринимательства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02.0.00.70690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407,4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407,4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развитию малого и среднего предпринимательства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02.0.00.S0690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300,0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02.0.00.S0690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02.0.00.S0690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260,0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4 570,0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4570,0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Финансирование расходов на подготовку градостроительной документации и (или) внесение изменений в нее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99.0.00.71200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1 916,5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1 916,5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расходов на подготовку градостроительной документации и (или) внесение изменений в нее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99.0.00.S1200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33,2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ЖИЛИЩНО-КОММУНАЛЬНОЕ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226 045,4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2513,8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21203,1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207356,1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Жилищное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139 522,8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1513,8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21115,5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119921,1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Прочие мероприятия в области жилищного хозяйства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99.0.00.13120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42,4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42,4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жилыми помещениями детей-сирот и детей, оставшихся без попечения родителей, лиц из их числа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95 316,3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21115,5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74200,8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296,4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296,4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Бюджетные инвестиции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95 019,9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21115,5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73904,4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жилыми помещениями многодетных семей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99.0.00.70639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11 500,0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11 500,0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Строительство (приобретение на первичном рынке) служебного жилья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99.0.00.70650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31 913,2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31 913,2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обеспечению жилыми помещениями многодетных семей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99.0.00.S0639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198,9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386,1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585,0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строительству (приобретению на первичном рынке) служебного жилья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99.0.00.S0650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552,0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1127,7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1679,7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Коммунальное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77 041,4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1000,0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87,6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77953,8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Прочие мероприятия на поддержку коммунального хозяйства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04.0.00.13200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2 788,3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2 788,3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Бюджетные инвестиции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04.0.00.13200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740,0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740,0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04.0.00.13200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2 048,3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2 048,3</w:t>
            </w:r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04.0.00.70510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1000,0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1700,0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Строительство и реконструкция объектов централизованных систем холодного водоснабжения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04.0.00.70640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32 655,0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32 655,0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строительству и реконструкции объектов централизованных систем холодного водоснабжения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04.0.00.S0640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564,8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564,8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Прочие мероприятия на поддержку коммунального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800,0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600,0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Снабжение населения топливом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4 520,0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4 520,0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1 966,0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1 966,0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2 554,0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2 554,0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функционирования систем тепло-, водоснабжения населения и водоотведения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99.0.00.70490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25 796,4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25 796,4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99.0.00.70490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6 494,5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1921,1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8415,7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99.0.00.70490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19 301,8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1921,1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17380,7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бесперебойной работы объектов тепло-, водоснабжения и водоотведения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8 688,5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8 688,5</w:t>
            </w:r>
            <w:r/>
          </w:p>
        </w:tc>
      </w:tr>
      <w:tr>
        <w:trPr>
          <w:trHeight w:val="12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8 688,5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3788,5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4900,0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3788,5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3788,5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снабжению населения топливом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99.0.00.S0470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44,2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44,2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организации функционирования систем тепло-, водоснабжения населения и водоотведения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99.0.00.S0490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333,9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22,1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311,8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организации бесперебойной работы объектов тепло-, водоснабжения и водоотведения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99.0.00.S0600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150,3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65,5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84,8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Другие вопросы в области жилищно-коммунального хозяйства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9 481,3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9 481,3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Строительство и реконструкция котельных, тепловых сетей, включая вынос водопроводов из каналов тепловой сети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9 481,3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9 481,3</w:t>
            </w:r>
            <w:r/>
          </w:p>
        </w:tc>
      </w:tr>
      <w:tr>
        <w:trPr>
          <w:trHeight w:val="4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ОХРАНА ОКРУЖАЮЩЕЙ СРЕДЫ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1 626,00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1 626,00</w:t>
            </w:r>
            <w:r/>
          </w:p>
        </w:tc>
      </w:tr>
      <w:tr>
        <w:trPr>
          <w:trHeight w:val="6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Охрана объектов растительного и животного мира и среды их обитания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1 626,00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1 626,00</w:t>
            </w:r>
            <w:r/>
          </w:p>
        </w:tc>
      </w:tr>
      <w:tr>
        <w:trPr>
          <w:trHeight w:val="43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Природоохранные мероприятия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17.0.00.14070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1 626,00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1 626,00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ОБРАЗОВАНИЕ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1 093 697,8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26328,2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18660,6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1101365,4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Дошкольное образование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198 333,0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1710,9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200043,9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функционирования, расширение и модернизация компонентов обеспечения безопасности населения и муниципальной (коммунальной) инфраструктуры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05.0.00.02590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600,0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обеспечению функционирования, расширению и модернизации компонентов обеспечения безопасности населения и муниципальной (коммунальной) инфраструктуры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05.0.00.S2590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10,4</w:t>
            </w:r>
            <w:r/>
          </w:p>
        </w:tc>
      </w:tr>
      <w:tr>
        <w:trPr>
          <w:trHeight w:val="6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433,0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433,0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Социальная поддержка отдельных категорий обучающихся в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99.0.00.03349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475,5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475,5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Детские дошкольные учреждения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37 571,3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1277,9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37349,2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Реализация основных общеобразовательных программ дошкольного образования в муниципальных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113 363,5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113 363,5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46 312,3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47812,3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Общее образование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774 509,6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8109,5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5215,9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777403,2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Ресурсное обеспечение модернизации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110 900,0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110 900,0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310,0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1800,0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2110,0</w:t>
            </w:r>
            <w:r/>
          </w:p>
        </w:tc>
      </w:tr>
      <w:tr>
        <w:trPr>
          <w:trHeight w:val="17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проведения мероприятий по летней занятости и оздоровлению детей в каникулярное время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447,8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447,8</w:t>
            </w:r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1150,0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1150,0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Содействие созданию новых мест в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05.0.00.70920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4 500,0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4 500,0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содействию создания новых мест в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05.0.00.S0920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77,9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77,9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ресурсному обеспечению модернизации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05.0.00.S3470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1 918,0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1 918,0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Обновление материально-технической базы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05.0.E1.51722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2 000,0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2 000,0</w:t>
            </w:r>
            <w:r/>
          </w:p>
        </w:tc>
      </w:tr>
      <w:tr>
        <w:trPr>
          <w:trHeight w:val="18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обновлению материально-технической базы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05.0.E1.S1722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34,6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34,6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05.0.E2.50980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1 921,3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1 921,3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Социальная поддержка отдельных категорий обучающихся в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99.0.00.03349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18 701,6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18 701,6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повышенного районного коэффициента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99.0.00.03350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855,4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855,4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питанием на льготных условиях детей военнослужащих, обучающихся в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99.0.00.04849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204,9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204,9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Школы-детские сады, школы начальные, неполные средние и средние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99 627,0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12,6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5215,9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94423,7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99.0.00.53030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20 529,9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20 529,9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Реализация основных общеобразовательных программ в муниципальных общеобразовательных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280 934,1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280 934,1</w:t>
            </w:r>
            <w:r/>
          </w:p>
        </w:tc>
      </w:tr>
      <w:tr>
        <w:trPr>
          <w:trHeight w:val="27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получения образовани</w:t>
            </w:r>
            <w:r>
              <w:t xml:space="preserve">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111 425,8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111 425,8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97 731,5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5146,9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102878,4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бесплатного горячего питания обучающихся в муниципальных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99.0.00.L3040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17 259,4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17 259,4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99.0.EВ.51790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5 130,4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5 130,4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Дополнительное образование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85 746,8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14252,8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13444,7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86554,9</w:t>
            </w:r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125,0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125,0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Учреждения по внешкольной работе с детьми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36 726,1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10851,9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25874,2</w:t>
            </w:r>
            <w:r/>
          </w:p>
        </w:tc>
      </w:tr>
      <w:tr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функционирования модели персонифицированного финансирования дополнительного образования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11558,0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11 558,00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10 219,40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10 219,40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автономным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13,3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13,3</w:t>
            </w:r>
            <w:r/>
          </w:p>
        </w:tc>
      </w:tr>
      <w:tr>
        <w:trPr>
          <w:trHeight w:val="9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некоммерческим организациям (за исключением государственных (муниципальных) учреждений)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13,3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13,3</w:t>
            </w:r>
            <w:r/>
          </w:p>
        </w:tc>
      </w:tr>
      <w:tr>
        <w:trPr>
          <w:trHeight w:val="13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1 312,10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1 312,10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49 020,7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2569,8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2592,8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48997,7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9 778,3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2592,8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7185,5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39 242,4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2569,8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41812,2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Молодежная политика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"Молодежь Колыванского района Новосибирской области на 2022-2024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08.0.00.15400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Другие вопросы в области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34 958,4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2255,0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37213,4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Ресурсное обеспечение модернизации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3 200,0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130,0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130,0</w:t>
            </w:r>
            <w:r/>
          </w:p>
        </w:tc>
      </w:tr>
      <w:tr>
        <w:trPr>
          <w:trHeight w:val="18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проведения мероприятий по летней занятости и оздоровлению детей в каникулярное время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2 035,6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2 035,6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Оздоровление детей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05.0.00.70359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2 748,4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2 748,4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оздоровлению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05.0.00.S0359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47,6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47,6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"Комплексная программа профилактики правонарушений в Колыванском районе Новосибирской области на 2021-2025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06.0.00.15420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15.0.00.15410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Расходы, направленные на содержание учреждений, обеспечивающих предоставление муниципальных услуг в сфере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26 707,3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2255,0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4600,0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24362,3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24 722,6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4600,0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20122,6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1 959,7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2255,0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4214,7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25,0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проезда детей и совершеннолетних граждан-сопровождающих организованные группы детей к месту отдыха и обратно при условии нахождения места отдыха за пределами Новосибирской области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99.0.00.70079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9,5</w:t>
            </w:r>
            <w:r/>
          </w:p>
        </w:tc>
      </w:tr>
      <w:tr>
        <w:trPr>
          <w:trHeight w:val="6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4600,0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4600,0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КУЛЬТУРА, КИНЕМАТОГРАФИЯ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104 925,4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3530,8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5261,1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103195,1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Культура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104 925,4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3530,8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5261,1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103195,1</w:t>
            </w:r>
            <w:r/>
          </w:p>
        </w:tc>
      </w:tr>
      <w:tr>
        <w:trPr>
          <w:trHeight w:val="17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направленные на создание условий для сохранения и развития культурного потенциала сел и деревень за счет средств муниципальной программы "Развитие культуры в Колыванском районе Новосибирской области на 2023-2025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10.0.00.16000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400,0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10.0.00.16000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360,0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Стипендии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10.0.00.16000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Комплектование библиотечных фондов муниципальных общедоступных библиотек Новосибирской области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10.0.00.70770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319,1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319,1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Развитие и укрепление материально-технической базы домов культуры в населенных пунктах с числом жителей до 50 тысяч человек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10.0.00.L4670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1 127,9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1 127,9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Государственная поддержка отрасли культуры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10.0.00.L5190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298,3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298,3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комплектованию библиотечных фондов муниципальных общедоступных библиотек Новосибирской области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10.0.00.S0770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5,6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"Профилактика терроризма и противодействие экстремизму на территории Колыванского района Новосибирской области на 2024-2026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11.0.00.15430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15.0.00.15410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содержание и обеспечение деятельности муниципальных библиотек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12 416,1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12 416,1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содержание и обеспечение деятельности муниципальных музеев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13 278,7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13 278,7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11 718,7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11 718,7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838,0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838,0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722,0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722,0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содержание и обеспечение деятельности Центра развития культуры Колыванского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31 058,1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150,8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31208,9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27 871,8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27 871,8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2 701,2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150,8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2852,0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485,1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485,1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45 951,6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3380,0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5261,1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44070,5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19 842,0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5261,1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16080,9</w:t>
            </w:r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450,0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450,0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26 109,6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1430,0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27539,6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СОЦИАЛЬНАЯ ПОЛИТИКА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103 453,7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21125,7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124579,5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Пенсионное обеспечение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2 121,4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2 121,4</w:t>
            </w:r>
            <w:r/>
          </w:p>
        </w:tc>
      </w:tr>
      <w:tr>
        <w:trPr>
          <w:trHeight w:val="6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Доплаты к пенсиям муниципальных служащих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99.0.00.17100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2 121,4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2 121,4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Социальное обслуживание населения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50 860,6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50 860,6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социального обслуживания отдельных категорий граждан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47 052,7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47 052,7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Создание системы долговременного ухода за гражданами пожилого возраста и инвалидами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99.0.P3.51630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3 807,9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3 807,9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Социальное обеспечение населения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1 229,1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10,2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1239,3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жильем молодых семей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03.0.00.L4979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1 229,1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10,2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1239,3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Охрана семьи и детства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49 169,0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21115,5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70284,5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Выплаты приемной семье на содержание подопечных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99.1.00.70289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16 158,9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16 158,9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Выплата вознаграждения приемным родителям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99.2.00.70289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24 081,0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24 081,0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Выплаты семьям опекунов на содержание подопечных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99.3.00.70289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8 929,1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8 929,1</w:t>
            </w:r>
            <w:r/>
          </w:p>
        </w:tc>
      </w:tr>
      <w:tr>
        <w:trPr>
          <w:trHeight w:val="9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жилыми помещениями детей-сирот и детей, оставшихся без попечения родителей, лиц из их числа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21115,5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21 115,5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Другие вопросы в области социальной политики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73,6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73,6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и проведение мероприятий с целью расширения прав инвалидов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99.0.00.70340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24,0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24,0</w:t>
            </w:r>
            <w:r/>
          </w:p>
        </w:tc>
      </w:tr>
      <w:tr>
        <w:trPr>
          <w:trHeight w:val="17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Создание социально-экономических, организационных условий для повышения качества жизни граждан пожилого возраста, степени их социальной защищенности, содействие их активному участию в жизни общества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99.0.00.70820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49,6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49,6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ФИЗИЧЕСКАЯ КУЛЬТУРА И СПОРТ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55 051,6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1150,5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56202,1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Массовый спорт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38 427,6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38547,6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Мероприятия, направленные на реализацию муниципальной программы "Развитие физической культуры и спорта в Колыванском районе Новосибирской области на 2022-2024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09.0.00.18100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400,0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Учреждения, обеспечивающие предоставление услуг в сфере физической культуры и спорта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99.0.00.18200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34 027,6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4775,4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29372,2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99.0.00.18200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25 686,2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4775,4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20910,8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99.0.00.18200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4 699,4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4819,4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99.0.00.18200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3 642,0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3642,0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Прочие мероприятия в области физической культуры и спорта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99.0.00.18400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4 000,0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4 000,0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4775,4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4775,4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Спорт высших достижений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16 624,0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1030,5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17654,5</w:t>
            </w:r>
            <w:r/>
          </w:p>
        </w:tc>
      </w:tr>
      <w:tr>
        <w:trPr>
          <w:trHeight w:val="9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функционирования модели персонифицированного финансирования дополнительного образования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2232,4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2232,4</w:t>
            </w:r>
            <w:r/>
          </w:p>
        </w:tc>
      </w:tr>
      <w:tr>
        <w:trPr>
          <w:trHeight w:val="6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70,0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Учреждения по внешкольной работе с детьми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6 523,0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291,7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2232,4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4582,3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10 101,0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668,8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10769,8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ОБСЛУЖИВАНИЕ ГОСУДАРСТВЕННОГО И МУНИЦИПАЛЬНОГО ДОЛГА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1301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1 700,0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1 700,0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Обслуживание государственного внутреннего и муниципального долга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1301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1 700,0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1 700,0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Обслуживание муниципального долга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1301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99.0.00.19100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730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1 700,0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1 700,0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МЕЖБЮДЖЕТНЫЕ ТРАНСФЕРТЫ ОБЩЕГО ХАРАКТЕРА БЮДЖЕТАМ БЮДЖЕТНОЙ СИСТЕМЫ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102 736,6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9792,0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112528,6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Дотации на выравнивание бюджетной обеспеченности субъектов Российской Федерации и муниципальных образований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67 949,2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67 949,2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Расчет и предоставление дотаций бюджетам поселений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67 949,2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67 949,2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Прочие межбюджетные трансферты общего характера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34 787,4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9792,0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44579,4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15.0.00.15410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Резервный фонд администрации Колыванского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200,0</w:t>
            </w:r>
            <w:r/>
          </w:p>
        </w:tc>
      </w:tr>
      <w:tr>
        <w:trPr>
          <w:trHeight w:val="9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межбюджетные трансферты бюджетам поселений за счет собственных средств муниципального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99.0.00.19400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700,0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700,0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34 567,4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9092,0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43659,4</w:t>
            </w:r>
            <w:r/>
          </w:p>
        </w:tc>
      </w:tr>
      <w:tr>
        <w:trPr>
          <w:trHeight w:val="2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Итого расходов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2 014 275,6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90683,2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80599,4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2024359,4</w:t>
            </w:r>
            <w:r/>
          </w:p>
        </w:tc>
      </w:tr>
      <w:tr>
        <w:trPr>
          <w:trHeight w:val="255"/>
        </w:trPr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/>
            <w:r/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sectPr>
      <w:footnotePr/>
      <w:endnotePr/>
      <w:type w:val="nextPage"/>
      <w:pgSz w:w="16838" w:h="11906" w:orient="landscape"/>
      <w:pgMar w:top="1701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Calibri Light">
    <w:panose1 w:val="020F0302020204030204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Courier New">
    <w:panose1 w:val="020703090202050204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7832" w:hanging="2160"/>
        <w:tabs>
          <w:tab w:val="num" w:pos="7832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2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829" w:hanging="180"/>
        <w:tabs>
          <w:tab w:val="num" w:pos="6829" w:leader="none"/>
        </w:tabs>
      </w:pPr>
    </w:lvl>
  </w:abstractNum>
  <w:abstractNum w:abstractNumId="2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2160" w:hanging="2160"/>
        <w:tabs>
          <w:tab w:val="num" w:pos="2160" w:leader="none"/>
        </w:tabs>
      </w:pPr>
    </w:lvl>
  </w:abstractNum>
  <w:abstractNum w:abstractNumId="3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7832" w:hanging="2160"/>
        <w:tabs>
          <w:tab w:val="num" w:pos="7832" w:leader="none"/>
        </w:tabs>
      </w:pPr>
    </w:lvl>
  </w:abstractNum>
  <w:abstractNum w:abstractNumId="4">
    <w:multiLevelType w:val="hybridMultilevel"/>
    <w:lvl w:ilvl="0">
      <w:start w:val="0"/>
      <w:numFmt w:val="bullet"/>
      <w:isLgl w:val="false"/>
      <w:suff w:val="tab"/>
      <w:lvlText w:val=""/>
      <w:lvlJc w:val="left"/>
      <w:pPr>
        <w:pStyle w:val="912"/>
        <w:ind w:left="720" w:hanging="360"/>
        <w:tabs>
          <w:tab w:val="num" w:pos="720" w:leader="none"/>
        </w:tabs>
      </w:pPr>
      <w:rPr>
        <w:rFonts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912"/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2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2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2"/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2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2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2"/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2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912"/>
        <w:ind w:left="360" w:hanging="360"/>
      </w:pPr>
    </w:lvl>
    <w:lvl w:ilvl="1">
      <w:start w:val="3"/>
      <w:numFmt w:val="decimal"/>
      <w:isLgl w:val="false"/>
      <w:suff w:val="tab"/>
      <w:lvlText w:val="%1.%2"/>
      <w:lvlJc w:val="left"/>
      <w:pPr>
        <w:pStyle w:val="912"/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2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2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2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2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2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2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2"/>
        <w:ind w:left="1440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420" w:hanging="420"/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1020" w:hanging="42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19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25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34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4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50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56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6600" w:hanging="180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pStyle w:val="912"/>
        <w:ind w:left="720" w:hanging="360"/>
        <w:tabs>
          <w:tab w:val="num" w:pos="720" w:leader="none"/>
        </w:tabs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"/>
      <w:lvlJc w:val="left"/>
      <w:pPr>
        <w:pStyle w:val="912"/>
        <w:ind w:left="1440" w:hanging="360"/>
        <w:tabs>
          <w:tab w:val="num" w:pos="1440" w:leader="none"/>
        </w:tabs>
      </w:pPr>
      <w:rPr>
        <w:rFonts w:ascii="Wingdings" w:hAnsi="Wingdings"/>
      </w:rPr>
    </w:lvl>
    <w:lvl w:ilvl="2">
      <w:start w:val="1"/>
      <w:numFmt w:val="bullet"/>
      <w:isLgl w:val="false"/>
      <w:suff w:val="tab"/>
      <w:lvlText w:val=""/>
      <w:lvlJc w:val="left"/>
      <w:pPr>
        <w:pStyle w:val="912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"/>
      <w:lvlJc w:val="left"/>
      <w:pPr>
        <w:pStyle w:val="912"/>
        <w:ind w:left="2880" w:hanging="360"/>
        <w:tabs>
          <w:tab w:val="num" w:pos="2880" w:leader="none"/>
        </w:tabs>
      </w:pPr>
      <w:rPr>
        <w:rFonts w:ascii="Wingdings" w:hAnsi="Wingdings"/>
      </w:rPr>
    </w:lvl>
    <w:lvl w:ilvl="4">
      <w:start w:val="1"/>
      <w:numFmt w:val="bullet"/>
      <w:isLgl w:val="false"/>
      <w:suff w:val="tab"/>
      <w:lvlText w:val=""/>
      <w:lvlJc w:val="left"/>
      <w:pPr>
        <w:pStyle w:val="912"/>
        <w:ind w:left="3600" w:hanging="360"/>
        <w:tabs>
          <w:tab w:val="num" w:pos="3600" w:leader="none"/>
        </w:tabs>
      </w:pPr>
      <w:rPr>
        <w:rFonts w:ascii="Wingdings" w:hAnsi="Wingdings"/>
      </w:rPr>
    </w:lvl>
    <w:lvl w:ilvl="5">
      <w:start w:val="1"/>
      <w:numFmt w:val="bullet"/>
      <w:isLgl w:val="false"/>
      <w:suff w:val="tab"/>
      <w:lvlText w:val=""/>
      <w:lvlJc w:val="left"/>
      <w:pPr>
        <w:pStyle w:val="912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"/>
      <w:lvlJc w:val="left"/>
      <w:pPr>
        <w:pStyle w:val="912"/>
        <w:ind w:left="5040" w:hanging="360"/>
        <w:tabs>
          <w:tab w:val="num" w:pos="5040" w:leader="none"/>
        </w:tabs>
      </w:pPr>
      <w:rPr>
        <w:rFonts w:ascii="Wingdings" w:hAnsi="Wingdings"/>
      </w:rPr>
    </w:lvl>
    <w:lvl w:ilvl="7">
      <w:start w:val="1"/>
      <w:numFmt w:val="bullet"/>
      <w:isLgl w:val="false"/>
      <w:suff w:val="tab"/>
      <w:lvlText w:val=""/>
      <w:lvlJc w:val="left"/>
      <w:pPr>
        <w:pStyle w:val="912"/>
        <w:ind w:left="5760" w:hanging="360"/>
        <w:tabs>
          <w:tab w:val="num" w:pos="5760" w:leader="none"/>
        </w:tabs>
      </w:pPr>
      <w:rPr>
        <w:rFonts w:ascii="Wingdings" w:hAnsi="Wingdings"/>
      </w:rPr>
    </w:lvl>
    <w:lvl w:ilvl="8">
      <w:start w:val="1"/>
      <w:numFmt w:val="bullet"/>
      <w:isLgl w:val="false"/>
      <w:suff w:val="tab"/>
      <w:lvlText w:val=""/>
      <w:lvlJc w:val="left"/>
      <w:pPr>
        <w:pStyle w:val="912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0" w:firstLine="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480" w:hanging="18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2160" w:hanging="2160"/>
        <w:tabs>
          <w:tab w:val="num" w:pos="2160" w:leader="none"/>
        </w:tabs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-"/>
      <w:lvlJc w:val="left"/>
      <w:pPr>
        <w:pStyle w:val="912"/>
        <w:ind w:left="1101" w:hanging="360"/>
        <w:tabs>
          <w:tab w:val="num" w:pos="1101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912"/>
        <w:ind w:left="1821" w:hanging="360"/>
        <w:tabs>
          <w:tab w:val="num" w:pos="1821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2"/>
        <w:ind w:left="2541" w:hanging="360"/>
        <w:tabs>
          <w:tab w:val="num" w:pos="2541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2"/>
        <w:ind w:left="3261" w:hanging="360"/>
        <w:tabs>
          <w:tab w:val="num" w:pos="3261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2"/>
        <w:ind w:left="3981" w:hanging="360"/>
        <w:tabs>
          <w:tab w:val="num" w:pos="3981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2"/>
        <w:ind w:left="4701" w:hanging="360"/>
        <w:tabs>
          <w:tab w:val="num" w:pos="4701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2"/>
        <w:ind w:left="5421" w:hanging="360"/>
        <w:tabs>
          <w:tab w:val="num" w:pos="5421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2"/>
        <w:ind w:left="6141" w:hanging="360"/>
        <w:tabs>
          <w:tab w:val="num" w:pos="6141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2"/>
        <w:ind w:left="6861" w:hanging="360"/>
        <w:tabs>
          <w:tab w:val="num" w:pos="6861" w:leader="none"/>
        </w:tabs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2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829" w:hanging="180"/>
        <w:tabs>
          <w:tab w:val="num" w:pos="6829" w:leader="none"/>
        </w:tabs>
      </w:pPr>
    </w:lvl>
  </w:abstractNum>
  <w:abstractNum w:abstractNumId="15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7832" w:hanging="2160"/>
        <w:tabs>
          <w:tab w:val="num" w:pos="7832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912"/>
        <w:ind w:left="360" w:hanging="360"/>
      </w:pPr>
    </w:lvl>
    <w:lvl w:ilvl="1">
      <w:start w:val="2"/>
      <w:numFmt w:val="decimal"/>
      <w:isLgl w:val="false"/>
      <w:suff w:val="tab"/>
      <w:lvlText w:val="%1.%2"/>
      <w:lvlJc w:val="left"/>
      <w:pPr>
        <w:pStyle w:val="912"/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2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2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2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2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2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2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2"/>
        <w:ind w:left="1440" w:hanging="1440"/>
      </w:pPr>
    </w:lvl>
  </w:abstractNum>
  <w:abstractNum w:abstractNumId="17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2160" w:hanging="2160"/>
        <w:tabs>
          <w:tab w:val="num" w:pos="2160" w:leader="none"/>
        </w:tabs>
      </w:pPr>
    </w:lvl>
  </w:abstractNum>
  <w:abstractNum w:abstractNumId="18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7832" w:hanging="2160"/>
        <w:tabs>
          <w:tab w:val="num" w:pos="7832" w:leader="none"/>
        </w:tabs>
      </w:pPr>
    </w:lvl>
  </w:abstractNum>
  <w:abstractNum w:abstractNumId="19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2160" w:hanging="2160"/>
        <w:tabs>
          <w:tab w:val="num" w:pos="216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1065" w:hanging="360"/>
        <w:tabs>
          <w:tab w:val="num" w:pos="10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785" w:hanging="360"/>
        <w:tabs>
          <w:tab w:val="num" w:pos="17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505" w:hanging="180"/>
        <w:tabs>
          <w:tab w:val="num" w:pos="25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3225" w:hanging="360"/>
        <w:tabs>
          <w:tab w:val="num" w:pos="32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945" w:hanging="360"/>
        <w:tabs>
          <w:tab w:val="num" w:pos="39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665" w:hanging="180"/>
        <w:tabs>
          <w:tab w:val="num" w:pos="46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385" w:hanging="360"/>
        <w:tabs>
          <w:tab w:val="num" w:pos="53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6105" w:hanging="360"/>
        <w:tabs>
          <w:tab w:val="num" w:pos="61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825" w:hanging="180"/>
        <w:tabs>
          <w:tab w:val="num" w:pos="6825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2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480" w:hanging="180"/>
        <w:tabs>
          <w:tab w:val="num" w:pos="6480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2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829" w:hanging="180"/>
        <w:tabs>
          <w:tab w:val="num" w:pos="6829" w:leader="none"/>
        </w:tabs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­"/>
      <w:lvlJc w:val="left"/>
      <w:pPr>
        <w:pStyle w:val="912"/>
        <w:ind w:left="1021" w:hanging="312"/>
        <w:tabs>
          <w:tab w:val="num" w:pos="1021" w:leader="none"/>
        </w:tabs>
      </w:pPr>
      <w:rPr>
        <w:rFonts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pStyle w:val="912"/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2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2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2"/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2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2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2"/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2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1319" w:hanging="78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61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33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305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77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49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21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93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65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480" w:hanging="180"/>
      </w:pPr>
    </w:lvl>
  </w:abstractNum>
  <w:abstractNum w:abstractNumId="26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7832" w:hanging="2160"/>
        <w:tabs>
          <w:tab w:val="num" w:pos="7832" w:leader="none"/>
        </w:tabs>
      </w:pPr>
    </w:lvl>
  </w:abstractNum>
  <w:abstractNum w:abstractNumId="27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pStyle w:val="912"/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1800" w:hanging="1800"/>
        <w:tabs>
          <w:tab w:val="num" w:pos="1800" w:leader="none"/>
        </w:tabs>
      </w:pPr>
    </w:lvl>
  </w:abstractNum>
  <w:abstractNum w:abstractNumId="28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2160" w:hanging="2160"/>
        <w:tabs>
          <w:tab w:val="num" w:pos="2160" w:leader="none"/>
        </w:tabs>
      </w:pPr>
    </w:lvl>
  </w:abstractNum>
  <w:abstractNum w:abstractNumId="29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7832" w:hanging="2160"/>
        <w:tabs>
          <w:tab w:val="num" w:pos="7832" w:leader="none"/>
        </w:tabs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480" w:hanging="18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912"/>
        <w:ind w:left="360" w:hanging="360"/>
      </w:pPr>
    </w:lvl>
    <w:lvl w:ilvl="1">
      <w:start w:val="3"/>
      <w:numFmt w:val="decimal"/>
      <w:isLgl w:val="false"/>
      <w:suff w:val="tab"/>
      <w:lvlText w:val="%1.%2"/>
      <w:lvlJc w:val="left"/>
      <w:pPr>
        <w:pStyle w:val="912"/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2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2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2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2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2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2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2"/>
        <w:ind w:left="1440" w:hanging="144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480" w:hanging="18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7"/>
      <w:numFmt w:val="decimalZero"/>
      <w:isLgl w:val="false"/>
      <w:suff w:val="tab"/>
      <w:lvlText w:val="%1"/>
      <w:lvlJc w:val="left"/>
      <w:pPr>
        <w:pStyle w:val="912"/>
        <w:ind w:left="780" w:hanging="420"/>
        <w:tabs>
          <w:tab w:val="num" w:pos="7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480" w:hanging="180"/>
        <w:tabs>
          <w:tab w:val="num" w:pos="6480" w:leader="none"/>
        </w:tabs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1608" w:hanging="990"/>
        <w:tabs>
          <w:tab w:val="num" w:pos="160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698" w:hanging="360"/>
        <w:tabs>
          <w:tab w:val="num" w:pos="169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418" w:hanging="180"/>
        <w:tabs>
          <w:tab w:val="num" w:pos="241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3138" w:hanging="360"/>
        <w:tabs>
          <w:tab w:val="num" w:pos="313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858" w:hanging="360"/>
        <w:tabs>
          <w:tab w:val="num" w:pos="385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578" w:hanging="180"/>
        <w:tabs>
          <w:tab w:val="num" w:pos="457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298" w:hanging="360"/>
        <w:tabs>
          <w:tab w:val="num" w:pos="529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6018" w:hanging="360"/>
        <w:tabs>
          <w:tab w:val="num" w:pos="601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738" w:hanging="180"/>
        <w:tabs>
          <w:tab w:val="num" w:pos="6738" w:leader="none"/>
        </w:tabs>
      </w:pPr>
    </w:lvl>
  </w:abstractNum>
  <w:abstractNum w:abstractNumId="3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7832" w:hanging="2160"/>
        <w:tabs>
          <w:tab w:val="num" w:pos="7832" w:leader="none"/>
        </w:tabs>
      </w:pPr>
    </w:lvl>
  </w:abstractNum>
  <w:abstractNum w:abstractNumId="36">
    <w:multiLevelType w:val="hybridMultilevel"/>
    <w:lvl w:ilvl="0">
      <w:start w:val="16"/>
      <w:numFmt w:val="decimal"/>
      <w:isLgl w:val="false"/>
      <w:suff w:val="tab"/>
      <w:lvlText w:val="%1"/>
      <w:lvlJc w:val="left"/>
      <w:pPr>
        <w:pStyle w:val="912"/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pStyle w:val="912"/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2"/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2"/>
        <w:ind w:left="2160" w:hanging="2160"/>
        <w:tabs>
          <w:tab w:val="num" w:pos="2160" w:leader="none"/>
        </w:tabs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829" w:hanging="180"/>
        <w:tabs>
          <w:tab w:val="num" w:pos="6829" w:leader="none"/>
        </w:tabs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1260" w:hanging="360"/>
        <w:tabs>
          <w:tab w:val="num" w:pos="126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1080" w:hanging="72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2160" w:hanging="2160"/>
        <w:tabs>
          <w:tab w:val="num" w:pos="2160" w:leader="none"/>
        </w:tabs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540" w:hanging="360"/>
        <w:tabs>
          <w:tab w:val="num" w:pos="5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300" w:hanging="180"/>
        <w:tabs>
          <w:tab w:val="num" w:pos="6300" w:leader="none"/>
        </w:tabs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pStyle w:val="912"/>
        <w:ind w:left="1260" w:hanging="360"/>
        <w:tabs>
          <w:tab w:val="num" w:pos="1260" w:leader="none"/>
        </w:tabs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912"/>
        <w:ind w:left="1980" w:hanging="360"/>
        <w:tabs>
          <w:tab w:val="num" w:pos="198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2"/>
        <w:ind w:left="2700" w:hanging="360"/>
        <w:tabs>
          <w:tab w:val="num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2"/>
        <w:ind w:left="3420" w:hanging="360"/>
        <w:tabs>
          <w:tab w:val="num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2"/>
        <w:ind w:left="4140" w:hanging="360"/>
        <w:tabs>
          <w:tab w:val="num" w:pos="414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2"/>
        <w:ind w:left="4860" w:hanging="360"/>
        <w:tabs>
          <w:tab w:val="num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2"/>
        <w:ind w:left="5580" w:hanging="360"/>
        <w:tabs>
          <w:tab w:val="num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2"/>
        <w:ind w:left="6300" w:hanging="360"/>
        <w:tabs>
          <w:tab w:val="num" w:pos="630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2"/>
        <w:ind w:left="7020" w:hanging="360"/>
        <w:tabs>
          <w:tab w:val="num" w:pos="7020" w:leader="none"/>
        </w:tabs>
      </w:pPr>
      <w:rPr>
        <w:rFonts w:ascii="Wingdings" w:hAnsi="Wingdings"/>
      </w:rPr>
    </w:lvl>
  </w:abstractNum>
  <w:abstractNum w:abstractNumId="41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2160" w:hanging="2160"/>
        <w:tabs>
          <w:tab w:val="num" w:pos="2160" w:leader="none"/>
        </w:tabs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1684" w:hanging="975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829" w:hanging="180"/>
      </w:pPr>
    </w:lvl>
  </w:abstractNum>
  <w:abstractNum w:abstractNumId="43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7832" w:hanging="2160"/>
        <w:tabs>
          <w:tab w:val="num" w:pos="7832" w:leader="none"/>
        </w:tabs>
      </w:pPr>
    </w:lvl>
  </w:abstractNum>
  <w:abstractNum w:abstractNumId="44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2160" w:hanging="2160"/>
        <w:tabs>
          <w:tab w:val="num" w:pos="2160" w:leader="none"/>
        </w:tabs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2"/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687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480" w:hanging="180"/>
        <w:tabs>
          <w:tab w:val="num" w:pos="6480" w:leader="none"/>
        </w:tabs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495" w:hanging="495"/>
        <w:tabs>
          <w:tab w:val="num" w:pos="49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7832" w:hanging="2160"/>
        <w:tabs>
          <w:tab w:val="num" w:pos="7832" w:leader="none"/>
        </w:tabs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2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829" w:hanging="180"/>
        <w:tabs>
          <w:tab w:val="num" w:pos="6829" w:leader="none"/>
        </w:tabs>
      </w:pPr>
    </w:lvl>
  </w:abstractNum>
  <w:abstractNum w:abstractNumId="49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pStyle w:val="912"/>
        <w:ind w:left="0" w:firstLine="709"/>
      </w:pPr>
    </w:lvl>
    <w:lvl w:ilvl="1">
      <w:start w:val="1"/>
      <w:numFmt w:val="decimal"/>
      <w:isLgl w:val="false"/>
      <w:suff w:val="space"/>
      <w:lvlText w:val="%1.%2."/>
      <w:lvlJc w:val="left"/>
      <w:pPr>
        <w:pStyle w:val="912"/>
        <w:ind w:left="0" w:firstLine="567"/>
      </w:pPr>
      <w:rPr>
        <w:b w:val="0"/>
      </w:rPr>
    </w:lvl>
    <w:lvl w:ilvl="2">
      <w:start w:val="1"/>
      <w:numFmt w:val="decimal"/>
      <w:isLgl w:val="false"/>
      <w:suff w:val="space"/>
      <w:lvlText w:val="%1.%2.%3."/>
      <w:lvlJc w:val="left"/>
      <w:pPr>
        <w:pStyle w:val="912"/>
        <w:ind w:left="0" w:firstLine="567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1440" w:hanging="1080"/>
        <w:tabs>
          <w:tab w:val="num" w:pos="144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1440" w:hanging="1080"/>
        <w:tabs>
          <w:tab w:val="num" w:pos="144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1800" w:hanging="1440"/>
        <w:tabs>
          <w:tab w:val="num" w:pos="180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2160" w:hanging="1800"/>
        <w:tabs>
          <w:tab w:val="num" w:pos="21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2160" w:hanging="1800"/>
        <w:tabs>
          <w:tab w:val="num" w:pos="21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2520" w:hanging="2160"/>
        <w:tabs>
          <w:tab w:val="num" w:pos="2520" w:leader="none"/>
        </w:tabs>
      </w:pPr>
    </w:lvl>
  </w:abstractNum>
  <w:num w:numId="1">
    <w:abstractNumId w:val="20"/>
  </w:num>
  <w:num w:numId="2">
    <w:abstractNumId w:val="48"/>
  </w:num>
  <w:num w:numId="3">
    <w:abstractNumId w:val="1"/>
  </w:num>
  <w:num w:numId="4">
    <w:abstractNumId w:val="14"/>
  </w:num>
  <w:num w:numId="5">
    <w:abstractNumId w:val="22"/>
  </w:num>
  <w:num w:numId="6">
    <w:abstractNumId w:val="26"/>
  </w:num>
  <w:num w:numId="7">
    <w:abstractNumId w:val="43"/>
  </w:num>
  <w:num w:numId="8">
    <w:abstractNumId w:val="3"/>
  </w:num>
  <w:num w:numId="9">
    <w:abstractNumId w:val="29"/>
  </w:num>
  <w:num w:numId="10">
    <w:abstractNumId w:val="0"/>
  </w:num>
  <w:num w:numId="11">
    <w:abstractNumId w:val="15"/>
  </w:num>
  <w:num w:numId="12">
    <w:abstractNumId w:val="18"/>
  </w:num>
  <w:num w:numId="13">
    <w:abstractNumId w:val="33"/>
  </w:num>
  <w:num w:numId="14">
    <w:abstractNumId w:val="35"/>
  </w:num>
  <w:num w:numId="15">
    <w:abstractNumId w:val="28"/>
  </w:num>
  <w:num w:numId="16">
    <w:abstractNumId w:val="12"/>
  </w:num>
  <w:num w:numId="17">
    <w:abstractNumId w:val="17"/>
  </w:num>
  <w:num w:numId="18">
    <w:abstractNumId w:val="41"/>
  </w:num>
  <w:num w:numId="19">
    <w:abstractNumId w:val="19"/>
  </w:num>
  <w:num w:numId="20">
    <w:abstractNumId w:val="2"/>
  </w:num>
  <w:num w:numId="21">
    <w:abstractNumId w:val="36"/>
  </w:num>
  <w:num w:numId="22">
    <w:abstractNumId w:val="44"/>
  </w:num>
  <w:num w:numId="23">
    <w:abstractNumId w:val="27"/>
  </w:num>
  <w:num w:numId="24">
    <w:abstractNumId w:val="8"/>
  </w:num>
  <w:num w:numId="25">
    <w:abstractNumId w:val="46"/>
  </w:num>
  <w:num w:numId="26">
    <w:abstractNumId w:val="39"/>
  </w:num>
  <w:num w:numId="27">
    <w:abstractNumId w:val="5"/>
  </w:num>
  <w:num w:numId="28">
    <w:abstractNumId w:val="34"/>
  </w:num>
  <w:num w:numId="29">
    <w:abstractNumId w:val="6"/>
  </w:num>
  <w:num w:numId="30">
    <w:abstractNumId w:val="23"/>
  </w:num>
  <w:num w:numId="31">
    <w:abstractNumId w:val="40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9"/>
  </w:num>
  <w:num w:numId="34">
    <w:abstractNumId w:val="11"/>
  </w:num>
  <w:num w:numId="35">
    <w:abstractNumId w:val="37"/>
  </w:num>
  <w:num w:numId="36">
    <w:abstractNumId w:val="47"/>
  </w:num>
  <w:num w:numId="37">
    <w:abstractNumId w:val="21"/>
  </w:num>
  <w:num w:numId="38">
    <w:abstractNumId w:val="13"/>
  </w:num>
  <w:num w:numId="39">
    <w:abstractNumId w:val="10"/>
  </w:num>
  <w:num w:numId="40">
    <w:abstractNumId w:val="30"/>
  </w:num>
  <w:num w:numId="41">
    <w:abstractNumId w:val="32"/>
  </w:num>
  <w:num w:numId="42">
    <w:abstractNumId w:val="4"/>
  </w:num>
  <w:num w:numId="43">
    <w:abstractNumId w:val="24"/>
  </w:num>
  <w:num w:numId="44">
    <w:abstractNumId w:val="9"/>
  </w:num>
  <w:num w:numId="45">
    <w:abstractNumId w:val="45"/>
  </w:num>
  <w:num w:numId="46">
    <w:abstractNumId w:val="16"/>
  </w:num>
  <w:num w:numId="47">
    <w:abstractNumId w:val="25"/>
  </w:num>
  <w:num w:numId="48">
    <w:abstractNumId w:val="31"/>
  </w:num>
  <w:num w:numId="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4">
    <w:name w:val="Heading 1"/>
    <w:basedOn w:val="912"/>
    <w:next w:val="912"/>
    <w:link w:val="73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5">
    <w:name w:val="Heading 1 Char"/>
    <w:link w:val="734"/>
    <w:uiPriority w:val="9"/>
    <w:rPr>
      <w:rFonts w:ascii="Arial" w:hAnsi="Arial" w:eastAsia="Arial" w:cs="Arial"/>
      <w:sz w:val="40"/>
      <w:szCs w:val="40"/>
    </w:rPr>
  </w:style>
  <w:style w:type="paragraph" w:styleId="736">
    <w:name w:val="Heading 2"/>
    <w:basedOn w:val="912"/>
    <w:next w:val="912"/>
    <w:link w:val="7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7">
    <w:name w:val="Heading 2 Char"/>
    <w:link w:val="736"/>
    <w:uiPriority w:val="9"/>
    <w:rPr>
      <w:rFonts w:ascii="Arial" w:hAnsi="Arial" w:eastAsia="Arial" w:cs="Arial"/>
      <w:sz w:val="34"/>
    </w:rPr>
  </w:style>
  <w:style w:type="paragraph" w:styleId="738">
    <w:name w:val="Heading 3"/>
    <w:basedOn w:val="912"/>
    <w:next w:val="912"/>
    <w:link w:val="7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9">
    <w:name w:val="Heading 3 Char"/>
    <w:link w:val="738"/>
    <w:uiPriority w:val="9"/>
    <w:rPr>
      <w:rFonts w:ascii="Arial" w:hAnsi="Arial" w:eastAsia="Arial" w:cs="Arial"/>
      <w:sz w:val="30"/>
      <w:szCs w:val="30"/>
    </w:rPr>
  </w:style>
  <w:style w:type="paragraph" w:styleId="740">
    <w:name w:val="Heading 4"/>
    <w:basedOn w:val="912"/>
    <w:next w:val="912"/>
    <w:link w:val="7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1">
    <w:name w:val="Heading 4 Char"/>
    <w:link w:val="740"/>
    <w:uiPriority w:val="9"/>
    <w:rPr>
      <w:rFonts w:ascii="Arial" w:hAnsi="Arial" w:eastAsia="Arial" w:cs="Arial"/>
      <w:b/>
      <w:bCs/>
      <w:sz w:val="26"/>
      <w:szCs w:val="26"/>
    </w:rPr>
  </w:style>
  <w:style w:type="paragraph" w:styleId="742">
    <w:name w:val="Heading 5"/>
    <w:basedOn w:val="912"/>
    <w:next w:val="912"/>
    <w:link w:val="7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3">
    <w:name w:val="Heading 5 Char"/>
    <w:link w:val="742"/>
    <w:uiPriority w:val="9"/>
    <w:rPr>
      <w:rFonts w:ascii="Arial" w:hAnsi="Arial" w:eastAsia="Arial" w:cs="Arial"/>
      <w:b/>
      <w:bCs/>
      <w:sz w:val="24"/>
      <w:szCs w:val="24"/>
    </w:rPr>
  </w:style>
  <w:style w:type="paragraph" w:styleId="744">
    <w:name w:val="Heading 6"/>
    <w:basedOn w:val="912"/>
    <w:next w:val="912"/>
    <w:link w:val="7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5">
    <w:name w:val="Heading 6 Char"/>
    <w:link w:val="744"/>
    <w:uiPriority w:val="9"/>
    <w:rPr>
      <w:rFonts w:ascii="Arial" w:hAnsi="Arial" w:eastAsia="Arial" w:cs="Arial"/>
      <w:b/>
      <w:bCs/>
      <w:sz w:val="22"/>
      <w:szCs w:val="22"/>
    </w:rPr>
  </w:style>
  <w:style w:type="paragraph" w:styleId="746">
    <w:name w:val="Heading 7"/>
    <w:basedOn w:val="912"/>
    <w:next w:val="912"/>
    <w:link w:val="7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7">
    <w:name w:val="Heading 7 Char"/>
    <w:link w:val="7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8">
    <w:name w:val="Heading 8"/>
    <w:basedOn w:val="912"/>
    <w:next w:val="912"/>
    <w:link w:val="7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9">
    <w:name w:val="Heading 8 Char"/>
    <w:link w:val="748"/>
    <w:uiPriority w:val="9"/>
    <w:rPr>
      <w:rFonts w:ascii="Arial" w:hAnsi="Arial" w:eastAsia="Arial" w:cs="Arial"/>
      <w:i/>
      <w:iCs/>
      <w:sz w:val="22"/>
      <w:szCs w:val="22"/>
    </w:rPr>
  </w:style>
  <w:style w:type="paragraph" w:styleId="750">
    <w:name w:val="Heading 9"/>
    <w:basedOn w:val="912"/>
    <w:next w:val="912"/>
    <w:link w:val="7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1">
    <w:name w:val="Heading 9 Char"/>
    <w:link w:val="750"/>
    <w:uiPriority w:val="9"/>
    <w:rPr>
      <w:rFonts w:ascii="Arial" w:hAnsi="Arial" w:eastAsia="Arial" w:cs="Arial"/>
      <w:i/>
      <w:iCs/>
      <w:sz w:val="21"/>
      <w:szCs w:val="21"/>
    </w:rPr>
  </w:style>
  <w:style w:type="paragraph" w:styleId="752">
    <w:name w:val="List Paragraph"/>
    <w:basedOn w:val="912"/>
    <w:uiPriority w:val="34"/>
    <w:qFormat/>
    <w:pPr>
      <w:contextualSpacing/>
      <w:ind w:left="720"/>
    </w:pPr>
  </w:style>
  <w:style w:type="paragraph" w:styleId="753">
    <w:name w:val="No Spacing"/>
    <w:uiPriority w:val="1"/>
    <w:qFormat/>
    <w:pPr>
      <w:spacing w:before="0" w:after="0" w:line="240" w:lineRule="auto"/>
    </w:pPr>
  </w:style>
  <w:style w:type="paragraph" w:styleId="754">
    <w:name w:val="Title"/>
    <w:basedOn w:val="912"/>
    <w:next w:val="912"/>
    <w:link w:val="7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5">
    <w:name w:val="Title Char"/>
    <w:link w:val="754"/>
    <w:uiPriority w:val="10"/>
    <w:rPr>
      <w:sz w:val="48"/>
      <w:szCs w:val="48"/>
    </w:rPr>
  </w:style>
  <w:style w:type="paragraph" w:styleId="756">
    <w:name w:val="Subtitle"/>
    <w:basedOn w:val="912"/>
    <w:next w:val="912"/>
    <w:link w:val="757"/>
    <w:uiPriority w:val="11"/>
    <w:qFormat/>
    <w:pPr>
      <w:spacing w:before="200" w:after="200"/>
    </w:pPr>
    <w:rPr>
      <w:sz w:val="24"/>
      <w:szCs w:val="24"/>
    </w:rPr>
  </w:style>
  <w:style w:type="character" w:styleId="757">
    <w:name w:val="Subtitle Char"/>
    <w:link w:val="756"/>
    <w:uiPriority w:val="11"/>
    <w:rPr>
      <w:sz w:val="24"/>
      <w:szCs w:val="24"/>
    </w:rPr>
  </w:style>
  <w:style w:type="paragraph" w:styleId="758">
    <w:name w:val="Quote"/>
    <w:basedOn w:val="912"/>
    <w:next w:val="912"/>
    <w:link w:val="759"/>
    <w:uiPriority w:val="29"/>
    <w:qFormat/>
    <w:pPr>
      <w:ind w:left="720" w:right="720"/>
    </w:pPr>
    <w:rPr>
      <w:i/>
    </w:rPr>
  </w:style>
  <w:style w:type="character" w:styleId="759">
    <w:name w:val="Quote Char"/>
    <w:link w:val="758"/>
    <w:uiPriority w:val="29"/>
    <w:rPr>
      <w:i/>
    </w:rPr>
  </w:style>
  <w:style w:type="paragraph" w:styleId="760">
    <w:name w:val="Intense Quote"/>
    <w:basedOn w:val="912"/>
    <w:next w:val="912"/>
    <w:link w:val="7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1">
    <w:name w:val="Intense Quote Char"/>
    <w:link w:val="760"/>
    <w:uiPriority w:val="30"/>
    <w:rPr>
      <w:i/>
    </w:rPr>
  </w:style>
  <w:style w:type="paragraph" w:styleId="762">
    <w:name w:val="Header"/>
    <w:basedOn w:val="912"/>
    <w:link w:val="7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3">
    <w:name w:val="Header Char"/>
    <w:link w:val="762"/>
    <w:uiPriority w:val="99"/>
  </w:style>
  <w:style w:type="paragraph" w:styleId="764">
    <w:name w:val="Footer"/>
    <w:basedOn w:val="912"/>
    <w:link w:val="7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5">
    <w:name w:val="Footer Char"/>
    <w:link w:val="764"/>
    <w:uiPriority w:val="99"/>
  </w:style>
  <w:style w:type="paragraph" w:styleId="766">
    <w:name w:val="Caption"/>
    <w:basedOn w:val="912"/>
    <w:next w:val="9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7">
    <w:name w:val="Caption Char"/>
    <w:basedOn w:val="766"/>
    <w:link w:val="764"/>
    <w:uiPriority w:val="99"/>
  </w:style>
  <w:style w:type="table" w:styleId="76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7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4">
    <w:name w:val="Hyperlink"/>
    <w:uiPriority w:val="99"/>
    <w:unhideWhenUsed/>
    <w:rPr>
      <w:color w:val="0000ff" w:themeColor="hyperlink"/>
      <w:u w:val="single"/>
    </w:rPr>
  </w:style>
  <w:style w:type="paragraph" w:styleId="895">
    <w:name w:val="footnote text"/>
    <w:basedOn w:val="912"/>
    <w:link w:val="896"/>
    <w:uiPriority w:val="99"/>
    <w:semiHidden/>
    <w:unhideWhenUsed/>
    <w:pPr>
      <w:spacing w:after="40" w:line="240" w:lineRule="auto"/>
    </w:pPr>
    <w:rPr>
      <w:sz w:val="18"/>
    </w:rPr>
  </w:style>
  <w:style w:type="character" w:styleId="896">
    <w:name w:val="Footnote Text Char"/>
    <w:link w:val="895"/>
    <w:uiPriority w:val="99"/>
    <w:rPr>
      <w:sz w:val="18"/>
    </w:rPr>
  </w:style>
  <w:style w:type="character" w:styleId="897">
    <w:name w:val="footnote reference"/>
    <w:uiPriority w:val="99"/>
    <w:unhideWhenUsed/>
    <w:rPr>
      <w:vertAlign w:val="superscript"/>
    </w:rPr>
  </w:style>
  <w:style w:type="paragraph" w:styleId="898">
    <w:name w:val="endnote text"/>
    <w:basedOn w:val="912"/>
    <w:link w:val="899"/>
    <w:uiPriority w:val="99"/>
    <w:semiHidden/>
    <w:unhideWhenUsed/>
    <w:pPr>
      <w:spacing w:after="0" w:line="240" w:lineRule="auto"/>
    </w:pPr>
    <w:rPr>
      <w:sz w:val="20"/>
    </w:rPr>
  </w:style>
  <w:style w:type="character" w:styleId="899">
    <w:name w:val="Endnote Text Char"/>
    <w:link w:val="898"/>
    <w:uiPriority w:val="99"/>
    <w:rPr>
      <w:sz w:val="20"/>
    </w:rPr>
  </w:style>
  <w:style w:type="character" w:styleId="900">
    <w:name w:val="endnote reference"/>
    <w:uiPriority w:val="99"/>
    <w:semiHidden/>
    <w:unhideWhenUsed/>
    <w:rPr>
      <w:vertAlign w:val="superscript"/>
    </w:rPr>
  </w:style>
  <w:style w:type="paragraph" w:styleId="901">
    <w:name w:val="toc 1"/>
    <w:basedOn w:val="912"/>
    <w:next w:val="912"/>
    <w:uiPriority w:val="39"/>
    <w:unhideWhenUsed/>
    <w:pPr>
      <w:ind w:left="0" w:right="0" w:firstLine="0"/>
      <w:spacing w:after="57"/>
    </w:pPr>
  </w:style>
  <w:style w:type="paragraph" w:styleId="902">
    <w:name w:val="toc 2"/>
    <w:basedOn w:val="912"/>
    <w:next w:val="912"/>
    <w:uiPriority w:val="39"/>
    <w:unhideWhenUsed/>
    <w:pPr>
      <w:ind w:left="283" w:right="0" w:firstLine="0"/>
      <w:spacing w:after="57"/>
    </w:pPr>
  </w:style>
  <w:style w:type="paragraph" w:styleId="903">
    <w:name w:val="toc 3"/>
    <w:basedOn w:val="912"/>
    <w:next w:val="912"/>
    <w:uiPriority w:val="39"/>
    <w:unhideWhenUsed/>
    <w:pPr>
      <w:ind w:left="567" w:right="0" w:firstLine="0"/>
      <w:spacing w:after="57"/>
    </w:pPr>
  </w:style>
  <w:style w:type="paragraph" w:styleId="904">
    <w:name w:val="toc 4"/>
    <w:basedOn w:val="912"/>
    <w:next w:val="912"/>
    <w:uiPriority w:val="39"/>
    <w:unhideWhenUsed/>
    <w:pPr>
      <w:ind w:left="850" w:right="0" w:firstLine="0"/>
      <w:spacing w:after="57"/>
    </w:pPr>
  </w:style>
  <w:style w:type="paragraph" w:styleId="905">
    <w:name w:val="toc 5"/>
    <w:basedOn w:val="912"/>
    <w:next w:val="912"/>
    <w:uiPriority w:val="39"/>
    <w:unhideWhenUsed/>
    <w:pPr>
      <w:ind w:left="1134" w:right="0" w:firstLine="0"/>
      <w:spacing w:after="57"/>
    </w:pPr>
  </w:style>
  <w:style w:type="paragraph" w:styleId="906">
    <w:name w:val="toc 6"/>
    <w:basedOn w:val="912"/>
    <w:next w:val="912"/>
    <w:uiPriority w:val="39"/>
    <w:unhideWhenUsed/>
    <w:pPr>
      <w:ind w:left="1417" w:right="0" w:firstLine="0"/>
      <w:spacing w:after="57"/>
    </w:pPr>
  </w:style>
  <w:style w:type="paragraph" w:styleId="907">
    <w:name w:val="toc 7"/>
    <w:basedOn w:val="912"/>
    <w:next w:val="912"/>
    <w:uiPriority w:val="39"/>
    <w:unhideWhenUsed/>
    <w:pPr>
      <w:ind w:left="1701" w:right="0" w:firstLine="0"/>
      <w:spacing w:after="57"/>
    </w:pPr>
  </w:style>
  <w:style w:type="paragraph" w:styleId="908">
    <w:name w:val="toc 8"/>
    <w:basedOn w:val="912"/>
    <w:next w:val="912"/>
    <w:uiPriority w:val="39"/>
    <w:unhideWhenUsed/>
    <w:pPr>
      <w:ind w:left="1984" w:right="0" w:firstLine="0"/>
      <w:spacing w:after="57"/>
    </w:pPr>
  </w:style>
  <w:style w:type="paragraph" w:styleId="909">
    <w:name w:val="toc 9"/>
    <w:basedOn w:val="912"/>
    <w:next w:val="912"/>
    <w:uiPriority w:val="39"/>
    <w:unhideWhenUsed/>
    <w:pPr>
      <w:ind w:left="2268" w:right="0" w:firstLine="0"/>
      <w:spacing w:after="57"/>
    </w:pPr>
  </w:style>
  <w:style w:type="paragraph" w:styleId="910">
    <w:name w:val="TOC Heading"/>
    <w:uiPriority w:val="39"/>
    <w:unhideWhenUsed/>
  </w:style>
  <w:style w:type="paragraph" w:styleId="911">
    <w:name w:val="table of figures"/>
    <w:basedOn w:val="912"/>
    <w:next w:val="912"/>
    <w:uiPriority w:val="99"/>
    <w:unhideWhenUsed/>
    <w:pPr>
      <w:spacing w:after="0" w:afterAutospacing="0"/>
    </w:pPr>
  </w:style>
  <w:style w:type="paragraph" w:styleId="912" w:default="1">
    <w:name w:val="Normal"/>
    <w:next w:val="912"/>
    <w:link w:val="912"/>
    <w:qFormat/>
    <w:rPr>
      <w:sz w:val="28"/>
      <w:lang w:val="ru-RU" w:eastAsia="ru-RU" w:bidi="ar-SA"/>
    </w:rPr>
  </w:style>
  <w:style w:type="character" w:styleId="913">
    <w:name w:val="Основной шрифт абзаца"/>
    <w:next w:val="913"/>
    <w:link w:val="912"/>
    <w:semiHidden/>
  </w:style>
  <w:style w:type="table" w:styleId="914">
    <w:name w:val="Обычная таблица"/>
    <w:next w:val="914"/>
    <w:link w:val="912"/>
    <w:semiHidden/>
    <w:tblPr/>
  </w:style>
  <w:style w:type="numbering" w:styleId="915">
    <w:name w:val="Нет списка"/>
    <w:next w:val="915"/>
    <w:link w:val="912"/>
    <w:uiPriority w:val="99"/>
    <w:semiHidden/>
  </w:style>
  <w:style w:type="paragraph" w:styleId="916">
    <w:name w:val="Знак"/>
    <w:basedOn w:val="912"/>
    <w:next w:val="916"/>
    <w:link w:val="912"/>
    <w:uiPriority w:val="9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17">
    <w:name w:val="Основной текст, Знак, Знак1 Знак,Основной текст1,bt,Основной текст Знак,Знак1 Знак"/>
    <w:basedOn w:val="912"/>
    <w:next w:val="917"/>
    <w:link w:val="918"/>
    <w:pPr>
      <w:jc w:val="both"/>
    </w:pPr>
  </w:style>
  <w:style w:type="character" w:styleId="918">
    <w:name w:val="Основной текст Знак1, Знак Знак, Знак1 Знак Знак,Основной текст1 Знак,bt Знак,Основной текст Знак Знак,Знак1 Знак Знак,Знак Знак"/>
    <w:next w:val="918"/>
    <w:link w:val="917"/>
    <w:rPr>
      <w:sz w:val="28"/>
      <w:lang w:val="ru-RU" w:eastAsia="ru-RU" w:bidi="ar-SA"/>
    </w:rPr>
  </w:style>
  <w:style w:type="table" w:styleId="919">
    <w:name w:val="Сетка таблицы"/>
    <w:basedOn w:val="914"/>
    <w:next w:val="919"/>
    <w:link w:val="912"/>
    <w:uiPriority w:val="39"/>
    <w:tblPr/>
  </w:style>
  <w:style w:type="paragraph" w:styleId="920">
    <w:name w:val="Верхний колонтитул"/>
    <w:basedOn w:val="912"/>
    <w:next w:val="920"/>
    <w:link w:val="936"/>
    <w:pPr>
      <w:ind w:firstLine="709"/>
      <w:jc w:val="both"/>
      <w:tabs>
        <w:tab w:val="center" w:pos="4536" w:leader="none"/>
        <w:tab w:val="right" w:pos="9072" w:leader="none"/>
      </w:tabs>
    </w:pPr>
    <w:rPr>
      <w:szCs w:val="28"/>
    </w:rPr>
  </w:style>
  <w:style w:type="paragraph" w:styleId="921">
    <w:name w:val="Основной текст с отступом 2"/>
    <w:basedOn w:val="912"/>
    <w:next w:val="921"/>
    <w:link w:val="912"/>
    <w:pPr>
      <w:ind w:left="283"/>
      <w:spacing w:after="120" w:line="480" w:lineRule="auto"/>
    </w:pPr>
    <w:rPr>
      <w:sz w:val="24"/>
      <w:szCs w:val="24"/>
    </w:rPr>
  </w:style>
  <w:style w:type="paragraph" w:styleId="922">
    <w:name w:val="Заголовок,Название"/>
    <w:basedOn w:val="912"/>
    <w:next w:val="922"/>
    <w:link w:val="934"/>
    <w:uiPriority w:val="10"/>
    <w:qFormat/>
    <w:pPr>
      <w:jc w:val="center"/>
    </w:pPr>
    <w:rPr>
      <w:b/>
      <w:sz w:val="24"/>
    </w:rPr>
  </w:style>
  <w:style w:type="paragraph" w:styleId="923">
    <w:name w:val="ConsNormal"/>
    <w:next w:val="923"/>
    <w:link w:val="912"/>
    <w:pPr>
      <w:ind w:right="19772" w:firstLine="720"/>
      <w:widowControl w:val="off"/>
    </w:pPr>
    <w:rPr>
      <w:rFonts w:ascii="Arial" w:hAnsi="Arial" w:cs="Arial"/>
      <w:lang w:val="ru-RU" w:eastAsia="ru-RU" w:bidi="ar-SA"/>
    </w:rPr>
  </w:style>
  <w:style w:type="paragraph" w:styleId="924">
    <w:name w:val="Нижний колонтитул"/>
    <w:basedOn w:val="912"/>
    <w:next w:val="924"/>
    <w:link w:val="935"/>
    <w:uiPriority w:val="99"/>
    <w:pPr>
      <w:tabs>
        <w:tab w:val="center" w:pos="4677" w:leader="none"/>
        <w:tab w:val="right" w:pos="9355" w:leader="none"/>
      </w:tabs>
    </w:pPr>
  </w:style>
  <w:style w:type="character" w:styleId="925">
    <w:name w:val="Номер страницы"/>
    <w:basedOn w:val="913"/>
    <w:next w:val="925"/>
    <w:link w:val="912"/>
  </w:style>
  <w:style w:type="paragraph" w:styleId="926">
    <w:name w:val="ConsNonformat"/>
    <w:next w:val="926"/>
    <w:link w:val="912"/>
    <w:pPr>
      <w:ind w:right="19772"/>
      <w:widowControl w:val="off"/>
    </w:pPr>
    <w:rPr>
      <w:rFonts w:ascii="Courier New" w:hAnsi="Courier New" w:cs="Courier New"/>
      <w:lang w:val="ru-RU" w:eastAsia="ru-RU" w:bidi="ar-SA"/>
    </w:rPr>
  </w:style>
  <w:style w:type="paragraph" w:styleId="927">
    <w:name w:val="ConsTitle"/>
    <w:next w:val="927"/>
    <w:link w:val="912"/>
    <w:pPr>
      <w:ind w:right="19772"/>
      <w:widowControl w:val="off"/>
    </w:pPr>
    <w:rPr>
      <w:rFonts w:ascii="Arial" w:hAnsi="Arial" w:cs="Arial"/>
      <w:b/>
      <w:bCs/>
      <w:sz w:val="16"/>
      <w:szCs w:val="16"/>
      <w:lang w:val="ru-RU" w:eastAsia="ru-RU" w:bidi="ar-SA"/>
    </w:rPr>
  </w:style>
  <w:style w:type="paragraph" w:styleId="928">
    <w:name w:val="Normal1"/>
    <w:next w:val="928"/>
    <w:link w:val="912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paragraph" w:styleId="929">
    <w:name w:val="ConsPlusNormal"/>
    <w:next w:val="929"/>
    <w:link w:val="976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930">
    <w:name w:val="ConsPlusNonformat"/>
    <w:next w:val="930"/>
    <w:link w:val="912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931">
    <w:name w:val="ConsPlusTitle"/>
    <w:next w:val="931"/>
    <w:link w:val="912"/>
    <w:pPr>
      <w:widowControl w:val="off"/>
    </w:pPr>
    <w:rPr>
      <w:rFonts w:ascii="Arial" w:hAnsi="Arial" w:cs="Arial"/>
      <w:b/>
      <w:bCs/>
      <w:lang w:val="ru-RU" w:eastAsia="ru-RU" w:bidi="ar-SA"/>
    </w:rPr>
  </w:style>
  <w:style w:type="paragraph" w:styleId="932">
    <w:name w:val="Оглавление 2"/>
    <w:basedOn w:val="912"/>
    <w:next w:val="912"/>
    <w:link w:val="912"/>
    <w:pPr>
      <w:ind w:left="238"/>
      <w:jc w:val="center"/>
      <w:spacing w:line="360" w:lineRule="auto"/>
      <w:widowControl w:val="off"/>
      <w:tabs>
        <w:tab w:val="left" w:pos="708" w:leader="none"/>
        <w:tab w:val="left" w:pos="1416" w:leader="none"/>
        <w:tab w:val="left" w:pos="2124" w:leader="none"/>
        <w:tab w:val="left" w:pos="2832" w:leader="none"/>
        <w:tab w:val="left" w:pos="3540" w:leader="none"/>
        <w:tab w:val="left" w:pos="4248" w:leader="none"/>
        <w:tab w:val="left" w:pos="4956" w:leader="none"/>
        <w:tab w:val="left" w:pos="5664" w:leader="none"/>
        <w:tab w:val="left" w:pos="7440" w:leader="none"/>
      </w:tabs>
    </w:pPr>
    <w:rPr>
      <w:sz w:val="24"/>
      <w:szCs w:val="24"/>
    </w:rPr>
  </w:style>
  <w:style w:type="paragraph" w:styleId="933">
    <w:name w:val=" Знак Знак1 Знак Знак"/>
    <w:basedOn w:val="912"/>
    <w:next w:val="933"/>
    <w:link w:val="913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34">
    <w:name w:val="Название Знак"/>
    <w:next w:val="934"/>
    <w:link w:val="922"/>
    <w:rPr>
      <w:b/>
      <w:sz w:val="24"/>
    </w:rPr>
  </w:style>
  <w:style w:type="character" w:styleId="935">
    <w:name w:val="Нижний колонтитул Знак"/>
    <w:next w:val="935"/>
    <w:link w:val="924"/>
    <w:uiPriority w:val="99"/>
    <w:rPr>
      <w:sz w:val="28"/>
    </w:rPr>
  </w:style>
  <w:style w:type="character" w:styleId="936">
    <w:name w:val="Верхний колонтитул Знак"/>
    <w:next w:val="936"/>
    <w:link w:val="920"/>
    <w:uiPriority w:val="99"/>
    <w:rPr>
      <w:sz w:val="28"/>
      <w:szCs w:val="28"/>
    </w:rPr>
  </w:style>
  <w:style w:type="paragraph" w:styleId="937">
    <w:name w:val="Текст выноски"/>
    <w:basedOn w:val="912"/>
    <w:next w:val="937"/>
    <w:link w:val="938"/>
    <w:rPr>
      <w:rFonts w:ascii="Tahoma" w:hAnsi="Tahoma" w:cs="Tahoma"/>
      <w:sz w:val="16"/>
      <w:szCs w:val="16"/>
    </w:rPr>
  </w:style>
  <w:style w:type="character" w:styleId="938">
    <w:name w:val="Текст выноски Знак"/>
    <w:next w:val="938"/>
    <w:link w:val="937"/>
    <w:rPr>
      <w:rFonts w:ascii="Tahoma" w:hAnsi="Tahoma" w:cs="Tahoma"/>
      <w:sz w:val="16"/>
      <w:szCs w:val="16"/>
    </w:rPr>
  </w:style>
  <w:style w:type="paragraph" w:styleId="939">
    <w:name w:val="Знак Знак1 Знак Знак"/>
    <w:basedOn w:val="912"/>
    <w:next w:val="939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0">
    <w:name w:val=" Знак Знак1 Знак Знак Знак Знак"/>
    <w:basedOn w:val="912"/>
    <w:next w:val="940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1">
    <w:name w:val=" Знак Знак1"/>
    <w:basedOn w:val="912"/>
    <w:next w:val="941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2">
    <w:name w:val=" Знак Знак1 Знак Знак Знак Знак Знак Знак Знак Знак"/>
    <w:basedOn w:val="912"/>
    <w:next w:val="942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3">
    <w:name w:val=" Знак Знак4"/>
    <w:basedOn w:val="912"/>
    <w:next w:val="943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44">
    <w:name w:val="Выделение"/>
    <w:next w:val="944"/>
    <w:link w:val="912"/>
    <w:qFormat/>
    <w:rPr>
      <w:rFonts w:cs="Times New Roman"/>
      <w:i/>
      <w:iCs/>
    </w:rPr>
  </w:style>
  <w:style w:type="paragraph" w:styleId="945">
    <w:name w:val=" Знак Знак4 Знак Знак Знак Знак1 Знак Знак Знак Знак"/>
    <w:basedOn w:val="912"/>
    <w:next w:val="945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6">
    <w:name w:val=" Знак Знак4 Знак Знак Знак Знак"/>
    <w:basedOn w:val="912"/>
    <w:next w:val="946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7">
    <w:name w:val=" Знак Знак4 Знак Знак"/>
    <w:basedOn w:val="912"/>
    <w:next w:val="947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8">
    <w:name w:val=" Знак Знак4 Знак Знак Знак Знак1"/>
    <w:basedOn w:val="912"/>
    <w:next w:val="948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9">
    <w:name w:val=" Знак Знак5"/>
    <w:basedOn w:val="912"/>
    <w:next w:val="949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0">
    <w:name w:val="Знак Знак Знак2 Знак"/>
    <w:basedOn w:val="912"/>
    <w:next w:val="950"/>
    <w:link w:val="912"/>
    <w:pPr>
      <w:jc w:val="right"/>
      <w:spacing w:after="160" w:line="240" w:lineRule="exact"/>
      <w:widowControl w:val="off"/>
    </w:pPr>
    <w:rPr>
      <w:sz w:val="20"/>
      <w:lang w:val="en-GB" w:eastAsia="en-US"/>
    </w:rPr>
  </w:style>
  <w:style w:type="paragraph" w:styleId="951">
    <w:name w:val="1"/>
    <w:basedOn w:val="912"/>
    <w:next w:val="951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52">
    <w:name w:val="Знак примечания"/>
    <w:next w:val="952"/>
    <w:link w:val="912"/>
    <w:uiPriority w:val="99"/>
    <w:unhideWhenUsed/>
    <w:rPr>
      <w:sz w:val="16"/>
      <w:szCs w:val="16"/>
    </w:rPr>
  </w:style>
  <w:style w:type="character" w:styleId="953">
    <w:name w:val="Основной текст (2)_"/>
    <w:next w:val="953"/>
    <w:link w:val="954"/>
    <w:rPr>
      <w:sz w:val="26"/>
      <w:szCs w:val="26"/>
      <w:shd w:val="clear" w:color="auto" w:fill="ffffff"/>
    </w:rPr>
  </w:style>
  <w:style w:type="paragraph" w:styleId="954">
    <w:name w:val="Основной текст (2)"/>
    <w:basedOn w:val="912"/>
    <w:next w:val="954"/>
    <w:link w:val="953"/>
    <w:pPr>
      <w:jc w:val="center"/>
      <w:spacing w:line="313" w:lineRule="exact"/>
      <w:shd w:val="clear" w:color="auto" w:fill="ffffff"/>
      <w:widowControl w:val="off"/>
    </w:pPr>
    <w:rPr>
      <w:sz w:val="26"/>
      <w:szCs w:val="26"/>
    </w:rPr>
  </w:style>
  <w:style w:type="paragraph" w:styleId="955">
    <w:name w:val="Абзац списка"/>
    <w:basedOn w:val="912"/>
    <w:next w:val="955"/>
    <w:link w:val="912"/>
    <w:uiPriority w:val="34"/>
    <w:qFormat/>
    <w:pPr>
      <w:contextualSpacing/>
      <w:ind w:left="720"/>
      <w:spacing w:after="160" w:line="256" w:lineRule="auto"/>
    </w:pPr>
    <w:rPr>
      <w:rFonts w:ascii="Calibri" w:hAnsi="Calibri" w:eastAsia="Calibri"/>
      <w:sz w:val="22"/>
      <w:szCs w:val="22"/>
      <w:lang w:eastAsia="en-US"/>
    </w:rPr>
  </w:style>
  <w:style w:type="paragraph" w:styleId="956">
    <w:name w:val="Текст примечания"/>
    <w:basedOn w:val="912"/>
    <w:next w:val="956"/>
    <w:link w:val="957"/>
    <w:rPr>
      <w:sz w:val="20"/>
    </w:rPr>
  </w:style>
  <w:style w:type="character" w:styleId="957">
    <w:name w:val="Текст примечания Знак"/>
    <w:basedOn w:val="913"/>
    <w:next w:val="957"/>
    <w:link w:val="956"/>
  </w:style>
  <w:style w:type="paragraph" w:styleId="958">
    <w:name w:val="Тема примечания"/>
    <w:basedOn w:val="956"/>
    <w:next w:val="956"/>
    <w:link w:val="959"/>
    <w:rPr>
      <w:b/>
      <w:bCs/>
    </w:rPr>
  </w:style>
  <w:style w:type="character" w:styleId="959">
    <w:name w:val="Тема примечания Знак"/>
    <w:next w:val="959"/>
    <w:link w:val="958"/>
    <w:rPr>
      <w:b/>
      <w:bCs/>
    </w:rPr>
  </w:style>
  <w:style w:type="numbering" w:styleId="960">
    <w:name w:val="Нет списка1"/>
    <w:next w:val="915"/>
    <w:link w:val="912"/>
    <w:uiPriority w:val="99"/>
    <w:semiHidden/>
    <w:unhideWhenUsed/>
  </w:style>
  <w:style w:type="numbering" w:styleId="961">
    <w:name w:val="Нет списка11"/>
    <w:next w:val="915"/>
    <w:link w:val="912"/>
    <w:semiHidden/>
  </w:style>
  <w:style w:type="paragraph" w:styleId="962">
    <w:name w:val="Обычный1"/>
    <w:next w:val="962"/>
    <w:link w:val="912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table" w:styleId="963">
    <w:name w:val="Сетка таблицы1"/>
    <w:basedOn w:val="914"/>
    <w:next w:val="919"/>
    <w:link w:val="912"/>
    <w:tblPr/>
  </w:style>
  <w:style w:type="paragraph" w:styleId="964">
    <w:name w:val="Знак Знак1"/>
    <w:basedOn w:val="912"/>
    <w:next w:val="964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65">
    <w:name w:val="Знак Знак1 Знак Знак Знак Знак"/>
    <w:basedOn w:val="912"/>
    <w:next w:val="965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66">
    <w:name w:val="Знак Знак1 Знак Знак Знак Знак Знак Знак Знак Знак"/>
    <w:basedOn w:val="912"/>
    <w:next w:val="966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67">
    <w:name w:val="Знак Знак4"/>
    <w:basedOn w:val="912"/>
    <w:next w:val="967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68">
    <w:name w:val="Знак Знак5"/>
    <w:basedOn w:val="912"/>
    <w:next w:val="968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numbering" w:styleId="969">
    <w:name w:val="Нет списка111"/>
    <w:next w:val="915"/>
    <w:link w:val="912"/>
    <w:uiPriority w:val="99"/>
    <w:semiHidden/>
    <w:unhideWhenUsed/>
  </w:style>
  <w:style w:type="character" w:styleId="970">
    <w:name w:val="Заголовок Знак"/>
    <w:next w:val="970"/>
    <w:link w:val="912"/>
    <w:uiPriority w:val="10"/>
    <w:rPr>
      <w:rFonts w:ascii="Calibri Light" w:hAnsi="Calibri Light" w:eastAsia="Times New Roman" w:cs="Times New Roman"/>
      <w:spacing w:val="-10"/>
      <w:sz w:val="56"/>
      <w:szCs w:val="56"/>
    </w:rPr>
  </w:style>
  <w:style w:type="numbering" w:styleId="971">
    <w:name w:val="Нет списка2"/>
    <w:next w:val="915"/>
    <w:link w:val="912"/>
    <w:semiHidden/>
  </w:style>
  <w:style w:type="numbering" w:styleId="972">
    <w:name w:val="Нет списка12"/>
    <w:next w:val="915"/>
    <w:link w:val="912"/>
    <w:uiPriority w:val="99"/>
    <w:semiHidden/>
    <w:unhideWhenUsed/>
  </w:style>
  <w:style w:type="numbering" w:styleId="973">
    <w:name w:val="Нет списка3"/>
    <w:next w:val="915"/>
    <w:link w:val="912"/>
    <w:semiHidden/>
  </w:style>
  <w:style w:type="paragraph" w:styleId="974">
    <w:name w:val="Обычный2"/>
    <w:next w:val="974"/>
    <w:link w:val="912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table" w:styleId="975">
    <w:name w:val="Сетка таблицы2"/>
    <w:basedOn w:val="914"/>
    <w:next w:val="919"/>
    <w:link w:val="912"/>
    <w:tblPr/>
  </w:style>
  <w:style w:type="character" w:styleId="976">
    <w:name w:val="ConsPlusNormal Знак"/>
    <w:next w:val="976"/>
    <w:link w:val="929"/>
    <w:rPr>
      <w:rFonts w:ascii="Arial" w:hAnsi="Arial" w:cs="Arial"/>
    </w:rPr>
  </w:style>
  <w:style w:type="character" w:styleId="977">
    <w:name w:val="Гиперссылка"/>
    <w:next w:val="977"/>
    <w:link w:val="912"/>
    <w:uiPriority w:val="99"/>
    <w:unhideWhenUsed/>
    <w:rPr>
      <w:color w:val="0563c1"/>
      <w:u w:val="single"/>
    </w:rPr>
  </w:style>
  <w:style w:type="character" w:styleId="978">
    <w:name w:val="Просмотренная гиперссылка"/>
    <w:next w:val="978"/>
    <w:link w:val="912"/>
    <w:uiPriority w:val="99"/>
    <w:unhideWhenUsed/>
    <w:rPr>
      <w:color w:val="954f72"/>
      <w:u w:val="single"/>
    </w:rPr>
  </w:style>
  <w:style w:type="paragraph" w:styleId="979">
    <w:name w:val="msonormal"/>
    <w:basedOn w:val="912"/>
    <w:next w:val="979"/>
    <w:link w:val="912"/>
    <w:pPr>
      <w:spacing w:before="100" w:beforeAutospacing="1" w:after="100" w:afterAutospacing="1"/>
    </w:pPr>
    <w:rPr>
      <w:sz w:val="24"/>
      <w:szCs w:val="24"/>
    </w:rPr>
  </w:style>
  <w:style w:type="paragraph" w:styleId="980">
    <w:name w:val="font5"/>
    <w:basedOn w:val="912"/>
    <w:next w:val="980"/>
    <w:link w:val="912"/>
    <w:pPr>
      <w:spacing w:before="100" w:beforeAutospacing="1" w:after="100" w:afterAutospacing="1"/>
    </w:pPr>
    <w:rPr>
      <w:b/>
      <w:bCs/>
      <w:sz w:val="24"/>
      <w:szCs w:val="24"/>
    </w:rPr>
  </w:style>
  <w:style w:type="paragraph" w:styleId="981">
    <w:name w:val="xl66"/>
    <w:basedOn w:val="912"/>
    <w:next w:val="981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82">
    <w:name w:val="xl67"/>
    <w:basedOn w:val="912"/>
    <w:next w:val="982"/>
    <w:link w:val="91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83">
    <w:name w:val="xl68"/>
    <w:basedOn w:val="912"/>
    <w:next w:val="983"/>
    <w:link w:val="912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84">
    <w:name w:val="xl69"/>
    <w:basedOn w:val="912"/>
    <w:next w:val="984"/>
    <w:link w:val="912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85">
    <w:name w:val="xl70"/>
    <w:basedOn w:val="912"/>
    <w:next w:val="985"/>
    <w:link w:val="912"/>
    <w:pPr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986">
    <w:name w:val="xl71"/>
    <w:basedOn w:val="912"/>
    <w:next w:val="986"/>
    <w:link w:val="91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987">
    <w:name w:val="xl72"/>
    <w:basedOn w:val="912"/>
    <w:next w:val="987"/>
    <w:link w:val="912"/>
    <w:pPr>
      <w:jc w:val="right"/>
      <w:spacing w:before="100" w:beforeAutospacing="1" w:after="100" w:afterAutospacing="1"/>
    </w:pPr>
    <w:rPr>
      <w:b/>
      <w:bCs/>
      <w:sz w:val="24"/>
      <w:szCs w:val="24"/>
    </w:rPr>
  </w:style>
  <w:style w:type="paragraph" w:styleId="988">
    <w:name w:val="xl73"/>
    <w:basedOn w:val="912"/>
    <w:next w:val="988"/>
    <w:link w:val="912"/>
    <w:pPr>
      <w:jc w:val="right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89">
    <w:name w:val="xl74"/>
    <w:basedOn w:val="912"/>
    <w:next w:val="989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0">
    <w:name w:val="xl75"/>
    <w:basedOn w:val="912"/>
    <w:next w:val="990"/>
    <w:link w:val="91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1">
    <w:name w:val="xl76"/>
    <w:basedOn w:val="912"/>
    <w:next w:val="991"/>
    <w:link w:val="912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2">
    <w:name w:val="xl77"/>
    <w:basedOn w:val="912"/>
    <w:next w:val="992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3">
    <w:name w:val="xl78"/>
    <w:basedOn w:val="912"/>
    <w:next w:val="993"/>
    <w:link w:val="912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4">
    <w:name w:val="xl79"/>
    <w:basedOn w:val="912"/>
    <w:next w:val="994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5">
    <w:name w:val="xl80"/>
    <w:basedOn w:val="912"/>
    <w:next w:val="995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996">
    <w:name w:val="xl81"/>
    <w:basedOn w:val="912"/>
    <w:next w:val="996"/>
    <w:link w:val="912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997">
    <w:name w:val="xl82"/>
    <w:basedOn w:val="912"/>
    <w:next w:val="997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998">
    <w:name w:val="xl83"/>
    <w:basedOn w:val="912"/>
    <w:next w:val="998"/>
    <w:link w:val="91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9">
    <w:name w:val="xl84"/>
    <w:basedOn w:val="912"/>
    <w:next w:val="999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0">
    <w:name w:val="xl85"/>
    <w:basedOn w:val="912"/>
    <w:next w:val="1000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1">
    <w:name w:val="xl86"/>
    <w:basedOn w:val="912"/>
    <w:next w:val="1001"/>
    <w:link w:val="91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2">
    <w:name w:val="xl87"/>
    <w:basedOn w:val="912"/>
    <w:next w:val="1002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3">
    <w:name w:val="xl88"/>
    <w:basedOn w:val="912"/>
    <w:next w:val="1003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4">
    <w:name w:val="xl89"/>
    <w:basedOn w:val="912"/>
    <w:next w:val="1004"/>
    <w:link w:val="91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5">
    <w:name w:val="xl90"/>
    <w:basedOn w:val="912"/>
    <w:next w:val="1005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06">
    <w:name w:val="xl91"/>
    <w:basedOn w:val="912"/>
    <w:next w:val="1006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07">
    <w:name w:val="xl92"/>
    <w:basedOn w:val="912"/>
    <w:next w:val="1007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08">
    <w:name w:val="xl93"/>
    <w:basedOn w:val="912"/>
    <w:next w:val="1008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09">
    <w:name w:val="xl94"/>
    <w:basedOn w:val="912"/>
    <w:next w:val="1009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0">
    <w:name w:val="xl95"/>
    <w:basedOn w:val="912"/>
    <w:next w:val="1010"/>
    <w:link w:val="91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1">
    <w:name w:val="xl96"/>
    <w:basedOn w:val="912"/>
    <w:next w:val="1011"/>
    <w:link w:val="912"/>
    <w:pPr>
      <w:jc w:val="center"/>
      <w:spacing w:before="100" w:beforeAutospacing="1" w:after="100" w:afterAutospacing="1"/>
    </w:pPr>
    <w:rPr>
      <w:sz w:val="24"/>
      <w:szCs w:val="24"/>
    </w:rPr>
  </w:style>
  <w:style w:type="paragraph" w:styleId="1012">
    <w:name w:val="xl97"/>
    <w:basedOn w:val="912"/>
    <w:next w:val="1012"/>
    <w:link w:val="912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3">
    <w:name w:val="xl98"/>
    <w:basedOn w:val="912"/>
    <w:next w:val="1013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4">
    <w:name w:val="xl99"/>
    <w:basedOn w:val="912"/>
    <w:next w:val="1014"/>
    <w:link w:val="912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5">
    <w:name w:val="xl100"/>
    <w:basedOn w:val="912"/>
    <w:next w:val="1015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6">
    <w:name w:val="xl101"/>
    <w:basedOn w:val="912"/>
    <w:next w:val="1016"/>
    <w:link w:val="91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7">
    <w:name w:val="xl102"/>
    <w:basedOn w:val="912"/>
    <w:next w:val="1017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8">
    <w:name w:val="xl103"/>
    <w:basedOn w:val="912"/>
    <w:next w:val="1018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9">
    <w:name w:val="xl104"/>
    <w:basedOn w:val="912"/>
    <w:next w:val="1019"/>
    <w:link w:val="912"/>
    <w:pPr>
      <w:jc w:val="center"/>
      <w:spacing w:before="100" w:beforeAutospacing="1" w:after="100" w:afterAutospacing="1"/>
    </w:pPr>
    <w:rPr>
      <w:b/>
      <w:bCs/>
      <w:sz w:val="24"/>
      <w:szCs w:val="24"/>
    </w:rPr>
  </w:style>
  <w:style w:type="paragraph" w:styleId="1020">
    <w:name w:val="xl105"/>
    <w:basedOn w:val="912"/>
    <w:next w:val="1020"/>
    <w:link w:val="912"/>
    <w:pPr>
      <w:jc w:val="center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1">
    <w:name w:val="xl106"/>
    <w:basedOn w:val="912"/>
    <w:next w:val="1021"/>
    <w:link w:val="912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2">
    <w:name w:val="xl107"/>
    <w:basedOn w:val="912"/>
    <w:next w:val="1022"/>
    <w:link w:val="912"/>
    <w:pPr>
      <w:jc w:val="center"/>
      <w:spacing w:before="100" w:beforeAutospacing="1" w:after="100" w:afterAutospacing="1"/>
      <w:pBdr>
        <w:left w:val="single" w:color="000000" w:sz="4" w:space="0"/>
      </w:pBdr>
    </w:pPr>
    <w:rPr>
      <w:b/>
      <w:bCs/>
      <w:sz w:val="24"/>
      <w:szCs w:val="24"/>
    </w:rPr>
  </w:style>
  <w:style w:type="paragraph" w:styleId="1023">
    <w:name w:val="xl108"/>
    <w:basedOn w:val="912"/>
    <w:next w:val="1023"/>
    <w:link w:val="912"/>
    <w:pPr>
      <w:jc w:val="center"/>
      <w:spacing w:before="100" w:beforeAutospacing="1" w:after="100" w:afterAutospacing="1"/>
      <w:pBdr>
        <w:top w:val="single" w:color="000000" w:sz="4" w:space="0"/>
      </w:pBdr>
    </w:pPr>
    <w:rPr>
      <w:b/>
      <w:bCs/>
      <w:sz w:val="24"/>
      <w:szCs w:val="24"/>
    </w:rPr>
  </w:style>
  <w:style w:type="paragraph" w:styleId="1024">
    <w:name w:val="xl109"/>
    <w:basedOn w:val="912"/>
    <w:next w:val="1024"/>
    <w:link w:val="91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5">
    <w:name w:val="xl110"/>
    <w:basedOn w:val="912"/>
    <w:next w:val="1025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6">
    <w:name w:val="xl111"/>
    <w:basedOn w:val="912"/>
    <w:next w:val="1026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b/>
      <w:bCs/>
      <w:sz w:val="24"/>
      <w:szCs w:val="24"/>
    </w:rPr>
  </w:style>
  <w:style w:type="paragraph" w:styleId="1027">
    <w:name w:val="xl112"/>
    <w:basedOn w:val="912"/>
    <w:next w:val="1027"/>
    <w:link w:val="91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28">
    <w:name w:val="xl113"/>
    <w:basedOn w:val="912"/>
    <w:next w:val="1028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29">
    <w:name w:val="xl114"/>
    <w:basedOn w:val="912"/>
    <w:next w:val="1029"/>
    <w:link w:val="912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30">
    <w:name w:val="xl115"/>
    <w:basedOn w:val="912"/>
    <w:next w:val="1030"/>
    <w:link w:val="912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1">
    <w:name w:val="xl116"/>
    <w:basedOn w:val="912"/>
    <w:next w:val="1031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2">
    <w:name w:val="xl117"/>
    <w:basedOn w:val="912"/>
    <w:next w:val="1032"/>
    <w:link w:val="912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1033">
    <w:name w:val="xl118"/>
    <w:basedOn w:val="912"/>
    <w:next w:val="1033"/>
    <w:link w:val="912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4">
    <w:name w:val="xl119"/>
    <w:basedOn w:val="912"/>
    <w:next w:val="1034"/>
    <w:link w:val="912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1035">
    <w:name w:val="xl120"/>
    <w:basedOn w:val="912"/>
    <w:next w:val="1035"/>
    <w:link w:val="91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4"/>
      <w:szCs w:val="24"/>
    </w:rPr>
  </w:style>
  <w:style w:type="paragraph" w:styleId="1036">
    <w:name w:val="xl121"/>
    <w:basedOn w:val="912"/>
    <w:next w:val="1036"/>
    <w:link w:val="91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7">
    <w:name w:val="xl122"/>
    <w:basedOn w:val="912"/>
    <w:next w:val="1037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38">
    <w:name w:val="xl123"/>
    <w:basedOn w:val="912"/>
    <w:next w:val="1038"/>
    <w:link w:val="912"/>
    <w:pPr>
      <w:jc w:val="center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9">
    <w:name w:val="xl124"/>
    <w:basedOn w:val="912"/>
    <w:next w:val="1039"/>
    <w:link w:val="912"/>
    <w:pPr>
      <w:jc w:val="center"/>
      <w:spacing w:before="100" w:beforeAutospacing="1" w:after="100" w:afterAutospacing="1"/>
      <w:pBdr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0">
    <w:name w:val="xl125"/>
    <w:basedOn w:val="912"/>
    <w:next w:val="1040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4"/>
      <w:szCs w:val="24"/>
    </w:rPr>
  </w:style>
  <w:style w:type="paragraph" w:styleId="1041">
    <w:name w:val="xl126"/>
    <w:basedOn w:val="912"/>
    <w:next w:val="1041"/>
    <w:link w:val="912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42">
    <w:name w:val="xl127"/>
    <w:basedOn w:val="912"/>
    <w:next w:val="1042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43">
    <w:name w:val="xl128"/>
    <w:basedOn w:val="912"/>
    <w:next w:val="1043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4">
    <w:name w:val="xl129"/>
    <w:basedOn w:val="912"/>
    <w:next w:val="1044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45">
    <w:name w:val="xl130"/>
    <w:basedOn w:val="912"/>
    <w:next w:val="1045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46">
    <w:name w:val="xl131"/>
    <w:basedOn w:val="912"/>
    <w:next w:val="1046"/>
    <w:link w:val="912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47">
    <w:name w:val="xl132"/>
    <w:basedOn w:val="912"/>
    <w:next w:val="1047"/>
    <w:link w:val="912"/>
    <w:pPr>
      <w:jc w:val="right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8">
    <w:name w:val="xl133"/>
    <w:basedOn w:val="912"/>
    <w:next w:val="1048"/>
    <w:link w:val="91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49">
    <w:name w:val="xl134"/>
    <w:basedOn w:val="912"/>
    <w:next w:val="1049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0">
    <w:name w:val="xl135"/>
    <w:basedOn w:val="912"/>
    <w:next w:val="1050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51">
    <w:name w:val="xl136"/>
    <w:basedOn w:val="912"/>
    <w:next w:val="1051"/>
    <w:link w:val="91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52">
    <w:name w:val="xl137"/>
    <w:basedOn w:val="912"/>
    <w:next w:val="1052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3">
    <w:name w:val="xl138"/>
    <w:basedOn w:val="912"/>
    <w:next w:val="1053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4">
    <w:name w:val="xl139"/>
    <w:basedOn w:val="912"/>
    <w:next w:val="1054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55">
    <w:name w:val="xl140"/>
    <w:basedOn w:val="912"/>
    <w:next w:val="1055"/>
    <w:link w:val="912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56">
    <w:name w:val="xl141"/>
    <w:basedOn w:val="912"/>
    <w:next w:val="1056"/>
    <w:link w:val="91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b/>
      <w:bCs/>
      <w:sz w:val="24"/>
      <w:szCs w:val="24"/>
    </w:rPr>
  </w:style>
  <w:style w:type="paragraph" w:styleId="1057">
    <w:name w:val="xl142"/>
    <w:basedOn w:val="912"/>
    <w:next w:val="1057"/>
    <w:link w:val="912"/>
    <w:pPr>
      <w:jc w:val="right"/>
      <w:spacing w:before="100" w:beforeAutospacing="1" w:after="100" w:afterAutospacing="1"/>
    </w:pPr>
    <w:rPr>
      <w:sz w:val="24"/>
      <w:szCs w:val="24"/>
    </w:rPr>
  </w:style>
  <w:style w:type="paragraph" w:styleId="1058">
    <w:name w:val="xl143"/>
    <w:basedOn w:val="912"/>
    <w:next w:val="1058"/>
    <w:link w:val="91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9">
    <w:name w:val="xl144"/>
    <w:basedOn w:val="912"/>
    <w:next w:val="1059"/>
    <w:link w:val="912"/>
    <w:pPr>
      <w:jc w:val="center"/>
      <w:spacing w:before="100" w:beforeAutospacing="1" w:after="100" w:afterAutospacing="1"/>
    </w:pPr>
    <w:rPr>
      <w:b/>
      <w:bCs/>
      <w:sz w:val="24"/>
      <w:szCs w:val="24"/>
    </w:rPr>
  </w:style>
  <w:style w:type="paragraph" w:styleId="1060">
    <w:name w:val="xl145"/>
    <w:basedOn w:val="912"/>
    <w:next w:val="1060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61">
    <w:name w:val="xl146"/>
    <w:basedOn w:val="912"/>
    <w:next w:val="1061"/>
    <w:link w:val="91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62">
    <w:name w:val="xl147"/>
    <w:basedOn w:val="912"/>
    <w:next w:val="1062"/>
    <w:link w:val="912"/>
    <w:pPr>
      <w:jc w:val="right"/>
      <w:spacing w:before="100" w:beforeAutospacing="1" w:after="100" w:afterAutospacing="1"/>
      <w:shd w:val="clear" w:color="000000" w:fill="ffffff"/>
    </w:pPr>
    <w:rPr>
      <w:rFonts w:ascii="Arial" w:hAnsi="Arial" w:cs="Arial"/>
      <w:sz w:val="24"/>
      <w:szCs w:val="24"/>
    </w:rPr>
  </w:style>
  <w:style w:type="paragraph" w:styleId="1063">
    <w:name w:val="xl148"/>
    <w:basedOn w:val="912"/>
    <w:next w:val="1063"/>
    <w:link w:val="912"/>
    <w:pPr>
      <w:jc w:val="right"/>
      <w:spacing w:before="100" w:beforeAutospacing="1" w:after="100" w:afterAutospacing="1"/>
      <w:shd w:val="clear" w:color="000000" w:fill="ffffff"/>
    </w:pPr>
    <w:rPr>
      <w:sz w:val="24"/>
      <w:szCs w:val="24"/>
    </w:rPr>
  </w:style>
  <w:style w:type="paragraph" w:styleId="1064">
    <w:name w:val="xl65"/>
    <w:basedOn w:val="912"/>
    <w:next w:val="1064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b/>
      <w:bCs/>
      <w:sz w:val="18"/>
      <w:szCs w:val="18"/>
    </w:rPr>
  </w:style>
  <w:style w:type="character" w:styleId="1065" w:default="1">
    <w:name w:val="Default Paragraph Font"/>
    <w:uiPriority w:val="1"/>
    <w:semiHidden/>
    <w:unhideWhenUsed/>
  </w:style>
  <w:style w:type="numbering" w:styleId="1066" w:default="1">
    <w:name w:val="No List"/>
    <w:uiPriority w:val="99"/>
    <w:semiHidden/>
    <w:unhideWhenUsed/>
  </w:style>
  <w:style w:type="table" w:styleId="106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MFNSO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00020203000000000151</dc:title>
  <dc:creator>g.kibal</dc:creator>
  <cp:revision>10</cp:revision>
  <dcterms:created xsi:type="dcterms:W3CDTF">2022-02-08T09:52:00Z</dcterms:created>
  <dcterms:modified xsi:type="dcterms:W3CDTF">2024-02-14T12:14:39Z</dcterms:modified>
  <cp:version>1048576</cp:version>
</cp:coreProperties>
</file>